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11F96631" w:rsidR="007B59B2" w:rsidRDefault="007B59B2" w:rsidP="007B59B2">
      <w:pPr>
        <w:rPr>
          <w:b/>
          <w:bCs/>
          <w:sz w:val="32"/>
          <w:szCs w:val="32"/>
        </w:rPr>
      </w:pPr>
      <w:r>
        <w:rPr>
          <w:b/>
          <w:bCs/>
          <w:sz w:val="32"/>
          <w:szCs w:val="32"/>
        </w:rPr>
        <w:t xml:space="preserve">Lisa </w:t>
      </w:r>
      <w:r w:rsidR="00AC7711">
        <w:rPr>
          <w:b/>
          <w:bCs/>
          <w:sz w:val="32"/>
          <w:szCs w:val="32"/>
        </w:rPr>
        <w:t>3</w:t>
      </w:r>
    </w:p>
    <w:p w14:paraId="3D14747F" w14:textId="77777777" w:rsidR="007B59B2" w:rsidRDefault="007B59B2" w:rsidP="007B59B2">
      <w:pPr>
        <w:rPr>
          <w:b/>
          <w:bCs/>
          <w:sz w:val="32"/>
          <w:szCs w:val="32"/>
        </w:rPr>
      </w:pPr>
      <w:r>
        <w:rPr>
          <w:b/>
          <w:bCs/>
          <w:sz w:val="32"/>
          <w:szCs w:val="32"/>
        </w:rPr>
        <w:t>Tehniline kirjeldus</w:t>
      </w:r>
    </w:p>
    <w:p w14:paraId="54C6042D" w14:textId="787F6193" w:rsidR="007B59B2" w:rsidRPr="000F4001" w:rsidRDefault="00AC7711" w:rsidP="007B59B2">
      <w:pPr>
        <w:rPr>
          <w:b/>
          <w:bCs/>
          <w:sz w:val="32"/>
          <w:szCs w:val="32"/>
        </w:rPr>
      </w:pPr>
      <w:r>
        <w:rPr>
          <w:b/>
          <w:bCs/>
          <w:sz w:val="32"/>
          <w:szCs w:val="32"/>
        </w:rPr>
        <w:t>Laanemõisa oja</w:t>
      </w:r>
      <w:r w:rsidR="00F04484" w:rsidRPr="00F04484">
        <w:rPr>
          <w:b/>
          <w:bCs/>
          <w:sz w:val="32"/>
          <w:szCs w:val="32"/>
        </w:rPr>
        <w:t xml:space="preserve"> kudealade par</w:t>
      </w:r>
      <w:r w:rsidR="00F04484">
        <w:rPr>
          <w:b/>
          <w:bCs/>
          <w:sz w:val="32"/>
          <w:szCs w:val="32"/>
        </w:rPr>
        <w:t>e</w:t>
      </w:r>
      <w:r w:rsidR="00F04484" w:rsidRPr="00F04484">
        <w:rPr>
          <w:b/>
          <w:bCs/>
          <w:sz w:val="32"/>
          <w:szCs w:val="32"/>
        </w:rPr>
        <w:t xml:space="preserve">ndamise </w:t>
      </w:r>
      <w:r w:rsidR="007B59B2">
        <w:rPr>
          <w:b/>
          <w:bCs/>
          <w:sz w:val="32"/>
          <w:szCs w:val="32"/>
        </w:rPr>
        <w:t>projekteerimine</w:t>
      </w:r>
    </w:p>
    <w:p w14:paraId="7E80151A" w14:textId="77777777" w:rsidR="00894D2C" w:rsidRPr="00DD058C" w:rsidRDefault="00894D2C" w:rsidP="00894D2C">
      <w:pPr>
        <w:jc w:val="both"/>
        <w:rPr>
          <w:szCs w:val="24"/>
        </w:rPr>
      </w:pPr>
    </w:p>
    <w:p w14:paraId="4E72F812" w14:textId="41429B5D" w:rsidR="003F3837" w:rsidRDefault="004E0D64" w:rsidP="00E003B9">
      <w:pPr>
        <w:jc w:val="both"/>
        <w:rPr>
          <w:szCs w:val="24"/>
        </w:rPr>
      </w:pPr>
      <w:r w:rsidRPr="004E0D64">
        <w:rPr>
          <w:szCs w:val="24"/>
        </w:rPr>
        <w:t>Laanemõisa oja (VEE1074608)</w:t>
      </w:r>
      <w:r w:rsidR="00E40CC8">
        <w:rPr>
          <w:szCs w:val="24"/>
        </w:rPr>
        <w:t xml:space="preserve"> </w:t>
      </w:r>
      <w:r>
        <w:rPr>
          <w:szCs w:val="24"/>
        </w:rPr>
        <w:t>ühele</w:t>
      </w:r>
      <w:r w:rsidR="000C21AB">
        <w:rPr>
          <w:szCs w:val="24"/>
        </w:rPr>
        <w:t xml:space="preserve"> lõigule </w:t>
      </w:r>
      <w:r w:rsidR="00AA45C3">
        <w:rPr>
          <w:szCs w:val="24"/>
        </w:rPr>
        <w:t xml:space="preserve">kalade </w:t>
      </w:r>
      <w:r w:rsidR="000C21AB">
        <w:rPr>
          <w:szCs w:val="24"/>
        </w:rPr>
        <w:t>kudealade parendamise</w:t>
      </w:r>
      <w:r w:rsidR="0003261A">
        <w:rPr>
          <w:szCs w:val="24"/>
        </w:rPr>
        <w:t xml:space="preserve"> ja</w:t>
      </w:r>
      <w:r w:rsidR="000C21AB">
        <w:rPr>
          <w:szCs w:val="24"/>
        </w:rPr>
        <w:t xml:space="preserve"> </w:t>
      </w:r>
      <w:r w:rsidR="0003261A" w:rsidRPr="0003261A">
        <w:rPr>
          <w:szCs w:val="24"/>
        </w:rPr>
        <w:t>jõesängi mitmekesistamise ehitusprojekt tööprojekti mahus</w:t>
      </w:r>
      <w:r w:rsidR="0003261A">
        <w:rPr>
          <w:szCs w:val="24"/>
        </w:rPr>
        <w:t>.</w:t>
      </w:r>
    </w:p>
    <w:p w14:paraId="6B3622C0" w14:textId="11C0F24D" w:rsidR="000740D2" w:rsidRDefault="006B2140" w:rsidP="00E003B9">
      <w:pPr>
        <w:jc w:val="both"/>
        <w:rPr>
          <w:szCs w:val="24"/>
        </w:rPr>
      </w:pPr>
      <w:r w:rsidRPr="006B2140">
        <w:rPr>
          <w:szCs w:val="24"/>
        </w:rPr>
        <w:t>Laanemõisa oja parandatav lõik asub Rakvere vallas, Lääne-Viru maakonnas, Karivärava külas</w:t>
      </w:r>
      <w:r>
        <w:rPr>
          <w:szCs w:val="24"/>
        </w:rPr>
        <w:t xml:space="preserve"> ja </w:t>
      </w:r>
      <w:r w:rsidRPr="006B2140">
        <w:rPr>
          <w:szCs w:val="24"/>
        </w:rPr>
        <w:t>kattub eramaaüksus</w:t>
      </w:r>
      <w:r>
        <w:rPr>
          <w:szCs w:val="24"/>
        </w:rPr>
        <w:t>ega</w:t>
      </w:r>
      <w:r w:rsidRPr="006B2140">
        <w:rPr>
          <w:szCs w:val="24"/>
        </w:rPr>
        <w:t xml:space="preserve"> Läänemõisa (katastritunnus: 66201:001:0355).</w:t>
      </w:r>
    </w:p>
    <w:p w14:paraId="20438895" w14:textId="77777777" w:rsidR="00894D2C" w:rsidRPr="007D19B4" w:rsidRDefault="00894D2C" w:rsidP="00894D2C">
      <w:pPr>
        <w:pStyle w:val="Loendilik"/>
        <w:numPr>
          <w:ilvl w:val="0"/>
          <w:numId w:val="1"/>
        </w:numPr>
        <w:spacing w:before="240"/>
        <w:jc w:val="both"/>
        <w:rPr>
          <w:b/>
          <w:bCs/>
          <w:szCs w:val="24"/>
        </w:rPr>
      </w:pPr>
      <w:r w:rsidRPr="007D19B4">
        <w:rPr>
          <w:b/>
          <w:bCs/>
          <w:szCs w:val="24"/>
        </w:rPr>
        <w:t>TÖÖDE EESMÄRK</w:t>
      </w:r>
    </w:p>
    <w:p w14:paraId="3E09C41C" w14:textId="30E7C083" w:rsidR="007D58F2" w:rsidRDefault="0044081E" w:rsidP="00386357">
      <w:pPr>
        <w:jc w:val="both"/>
      </w:pPr>
      <w:r w:rsidRPr="0044081E">
        <w:t>jõe kudealade parandamise ja jõesängi mitmekesistamise eesmärk on jõe füüsilise kvaliteedi tõstmine selleks, et parandada siirdekalade sigimis- ja kasvualasid. Selleks on ihtüoloogid teinud ettepaneku parandada jõe elupaigalist kvaliteeti suuremate kivide ning kudesubstraadi lisamisega jõesängi kahes jõelõigus</w:t>
      </w:r>
    </w:p>
    <w:p w14:paraId="22AFE1E2" w14:textId="645F92E4" w:rsidR="00FB63EF" w:rsidRDefault="00A92869" w:rsidP="005955DE">
      <w:pPr>
        <w:jc w:val="both"/>
      </w:pPr>
      <w:r>
        <w:t>Projekteerimistööde eesmärk on projekteerida</w:t>
      </w:r>
      <w:r w:rsidR="00A82D9E">
        <w:t xml:space="preserve"> </w:t>
      </w:r>
      <w:r w:rsidR="009969D5">
        <w:t>Laanemõisa oja ühele</w:t>
      </w:r>
      <w:r w:rsidR="00620423">
        <w:t xml:space="preserve"> lõigule </w:t>
      </w:r>
      <w:r w:rsidR="00091F13" w:rsidRPr="00091F13">
        <w:t>forelli sigimis- ja noorjärkude elutingimuste parandamiseks</w:t>
      </w:r>
      <w:r w:rsidR="00091F13">
        <w:t xml:space="preserve"> </w:t>
      </w:r>
      <w:r w:rsidR="00620423">
        <w:t xml:space="preserve">koelmupadjad ning </w:t>
      </w:r>
      <w:r w:rsidR="005955DE">
        <w:t xml:space="preserve">elupaiga ja </w:t>
      </w:r>
      <w:proofErr w:type="spellStart"/>
      <w:r w:rsidR="005955DE">
        <w:t>hüdromorfoloogiliste</w:t>
      </w:r>
      <w:proofErr w:type="spellEnd"/>
      <w:r w:rsidR="005955DE">
        <w:t xml:space="preserve"> omaduste mitmekesistamiseks ning varjepaikade tek</w:t>
      </w:r>
      <w:r w:rsidR="00DA49C4">
        <w:t>ita</w:t>
      </w:r>
      <w:r w:rsidR="005955DE">
        <w:t xml:space="preserve">miseks </w:t>
      </w:r>
      <w:r w:rsidR="00FB63EF">
        <w:t xml:space="preserve">kivide lisamine </w:t>
      </w:r>
      <w:r w:rsidR="005955DE">
        <w:t>voolusängi</w:t>
      </w:r>
      <w:r w:rsidR="00FE5762">
        <w:t xml:space="preserve"> vastavalt tabelile</w:t>
      </w:r>
      <w:r w:rsidR="00DA49C4">
        <w:t xml:space="preserve"> 1.</w:t>
      </w:r>
    </w:p>
    <w:p w14:paraId="5ED09FD4" w14:textId="7C7F6400" w:rsidR="008429D2" w:rsidRPr="001778D3" w:rsidRDefault="008429D2" w:rsidP="008429D2">
      <w:pPr>
        <w:jc w:val="both"/>
        <w:rPr>
          <w:rFonts w:cs="Times New Roman"/>
        </w:rPr>
      </w:pPr>
      <w:r>
        <w:rPr>
          <w:rFonts w:cs="Times New Roman"/>
        </w:rPr>
        <w:t xml:space="preserve">Tabel 1. Laanemõisa oja parendatava lõigu ülevaade </w:t>
      </w:r>
    </w:p>
    <w:tbl>
      <w:tblPr>
        <w:tblStyle w:val="Kontuurtabel"/>
        <w:tblW w:w="0" w:type="auto"/>
        <w:tblLayout w:type="fixed"/>
        <w:tblLook w:val="04A0" w:firstRow="1" w:lastRow="0" w:firstColumn="1" w:lastColumn="0" w:noHBand="0" w:noVBand="1"/>
      </w:tblPr>
      <w:tblGrid>
        <w:gridCol w:w="846"/>
        <w:gridCol w:w="1276"/>
        <w:gridCol w:w="1275"/>
        <w:gridCol w:w="1276"/>
        <w:gridCol w:w="851"/>
        <w:gridCol w:w="1134"/>
        <w:gridCol w:w="708"/>
        <w:gridCol w:w="760"/>
        <w:gridCol w:w="936"/>
      </w:tblGrid>
      <w:tr w:rsidR="008429D2" w:rsidRPr="0043094E" w14:paraId="0BA6A630" w14:textId="77777777" w:rsidTr="00A20CB7">
        <w:trPr>
          <w:trHeight w:val="1353"/>
        </w:trPr>
        <w:tc>
          <w:tcPr>
            <w:tcW w:w="846" w:type="dxa"/>
          </w:tcPr>
          <w:p w14:paraId="04907963" w14:textId="77777777" w:rsidR="008429D2" w:rsidRPr="000B1735" w:rsidRDefault="008429D2" w:rsidP="00A20CB7">
            <w:pPr>
              <w:rPr>
                <w:rFonts w:cs="Times New Roman"/>
                <w:sz w:val="16"/>
                <w:szCs w:val="16"/>
              </w:rPr>
            </w:pPr>
            <w:r w:rsidRPr="000B1735">
              <w:rPr>
                <w:rFonts w:cs="Times New Roman"/>
                <w:sz w:val="16"/>
                <w:szCs w:val="16"/>
              </w:rPr>
              <w:t>Laane</w:t>
            </w:r>
            <w:r>
              <w:rPr>
                <w:rFonts w:cs="Times New Roman"/>
                <w:sz w:val="16"/>
                <w:szCs w:val="16"/>
              </w:rPr>
              <w:t>-</w:t>
            </w:r>
            <w:r w:rsidRPr="000B1735">
              <w:rPr>
                <w:rFonts w:cs="Times New Roman"/>
                <w:sz w:val="16"/>
                <w:szCs w:val="16"/>
              </w:rPr>
              <w:t>mõisa oja lõik</w:t>
            </w:r>
          </w:p>
        </w:tc>
        <w:tc>
          <w:tcPr>
            <w:tcW w:w="1276" w:type="dxa"/>
          </w:tcPr>
          <w:p w14:paraId="358D8316" w14:textId="77777777" w:rsidR="008429D2" w:rsidRPr="0043094E" w:rsidRDefault="008429D2" w:rsidP="00A20CB7">
            <w:pPr>
              <w:jc w:val="center"/>
              <w:rPr>
                <w:rFonts w:cs="Times New Roman"/>
                <w:sz w:val="16"/>
                <w:szCs w:val="16"/>
              </w:rPr>
            </w:pPr>
            <w:r w:rsidRPr="0043094E">
              <w:rPr>
                <w:rFonts w:cs="Times New Roman"/>
                <w:sz w:val="16"/>
                <w:szCs w:val="16"/>
              </w:rPr>
              <w:t>katastritunnused</w:t>
            </w:r>
          </w:p>
        </w:tc>
        <w:tc>
          <w:tcPr>
            <w:tcW w:w="1275" w:type="dxa"/>
          </w:tcPr>
          <w:p w14:paraId="10EABEB5" w14:textId="77777777" w:rsidR="008429D2" w:rsidRPr="0043094E" w:rsidRDefault="008429D2" w:rsidP="00A20CB7">
            <w:pPr>
              <w:jc w:val="center"/>
              <w:rPr>
                <w:rFonts w:cs="Times New Roman"/>
                <w:sz w:val="16"/>
                <w:szCs w:val="16"/>
              </w:rPr>
            </w:pPr>
            <w:r w:rsidRPr="0043094E">
              <w:rPr>
                <w:rFonts w:cs="Times New Roman"/>
                <w:sz w:val="16"/>
                <w:szCs w:val="16"/>
              </w:rPr>
              <w:t>koordinaadid (algus)</w:t>
            </w:r>
          </w:p>
        </w:tc>
        <w:tc>
          <w:tcPr>
            <w:tcW w:w="1276" w:type="dxa"/>
          </w:tcPr>
          <w:p w14:paraId="18A2E5D2" w14:textId="77777777" w:rsidR="008429D2" w:rsidRPr="0043094E" w:rsidRDefault="008429D2" w:rsidP="00A20CB7">
            <w:pPr>
              <w:jc w:val="center"/>
              <w:rPr>
                <w:rFonts w:cs="Times New Roman"/>
                <w:sz w:val="16"/>
                <w:szCs w:val="16"/>
              </w:rPr>
            </w:pPr>
            <w:r w:rsidRPr="0043094E">
              <w:rPr>
                <w:rFonts w:cs="Times New Roman"/>
                <w:sz w:val="16"/>
                <w:szCs w:val="16"/>
              </w:rPr>
              <w:t>koordinaadid (lõpp)</w:t>
            </w:r>
          </w:p>
        </w:tc>
        <w:tc>
          <w:tcPr>
            <w:tcW w:w="851" w:type="dxa"/>
          </w:tcPr>
          <w:p w14:paraId="3C576861" w14:textId="77777777" w:rsidR="008429D2" w:rsidRPr="0043094E" w:rsidRDefault="008429D2" w:rsidP="00A20CB7">
            <w:pPr>
              <w:jc w:val="center"/>
              <w:rPr>
                <w:rFonts w:cs="Times New Roman"/>
                <w:sz w:val="16"/>
                <w:szCs w:val="16"/>
              </w:rPr>
            </w:pPr>
            <w:r w:rsidRPr="0043094E">
              <w:rPr>
                <w:rFonts w:cs="Times New Roman"/>
                <w:sz w:val="16"/>
                <w:szCs w:val="16"/>
              </w:rPr>
              <w:t>lõigu pikkus (m)</w:t>
            </w:r>
          </w:p>
        </w:tc>
        <w:tc>
          <w:tcPr>
            <w:tcW w:w="1134" w:type="dxa"/>
          </w:tcPr>
          <w:p w14:paraId="004C28D5" w14:textId="77777777" w:rsidR="008429D2" w:rsidRPr="0043094E" w:rsidRDefault="008429D2" w:rsidP="00A20CB7">
            <w:pPr>
              <w:jc w:val="center"/>
              <w:rPr>
                <w:rFonts w:cs="Times New Roman"/>
                <w:sz w:val="16"/>
                <w:szCs w:val="16"/>
              </w:rPr>
            </w:pPr>
            <w:r w:rsidRPr="0043094E">
              <w:rPr>
                <w:rFonts w:cs="Times New Roman"/>
                <w:sz w:val="16"/>
                <w:szCs w:val="16"/>
              </w:rPr>
              <w:t>kudepadjand (tk)</w:t>
            </w:r>
          </w:p>
        </w:tc>
        <w:tc>
          <w:tcPr>
            <w:tcW w:w="708" w:type="dxa"/>
          </w:tcPr>
          <w:p w14:paraId="04C733D2" w14:textId="77777777" w:rsidR="008429D2" w:rsidRPr="0043094E" w:rsidRDefault="008429D2" w:rsidP="00A20CB7">
            <w:pPr>
              <w:jc w:val="center"/>
              <w:rPr>
                <w:rFonts w:cs="Times New Roman"/>
                <w:sz w:val="16"/>
                <w:szCs w:val="16"/>
              </w:rPr>
            </w:pPr>
            <w:r w:rsidRPr="0043094E">
              <w:rPr>
                <w:rFonts w:cs="Times New Roman"/>
                <w:sz w:val="16"/>
                <w:szCs w:val="16"/>
              </w:rPr>
              <w:t>veerise hulk (m</w:t>
            </w:r>
            <w:r w:rsidRPr="0043094E">
              <w:rPr>
                <w:rFonts w:cs="Times New Roman"/>
                <w:sz w:val="16"/>
                <w:szCs w:val="16"/>
                <w:vertAlign w:val="superscript"/>
              </w:rPr>
              <w:t>3</w:t>
            </w:r>
            <w:r w:rsidRPr="0043094E">
              <w:rPr>
                <w:rFonts w:cs="Times New Roman"/>
                <w:sz w:val="16"/>
                <w:szCs w:val="16"/>
              </w:rPr>
              <w:t>/tk)</w:t>
            </w:r>
          </w:p>
        </w:tc>
        <w:tc>
          <w:tcPr>
            <w:tcW w:w="760" w:type="dxa"/>
          </w:tcPr>
          <w:p w14:paraId="691BBADB" w14:textId="77777777" w:rsidR="008429D2" w:rsidRPr="0043094E" w:rsidRDefault="008429D2" w:rsidP="00A20CB7">
            <w:pPr>
              <w:jc w:val="center"/>
              <w:rPr>
                <w:rFonts w:cs="Times New Roman"/>
                <w:sz w:val="16"/>
                <w:szCs w:val="16"/>
              </w:rPr>
            </w:pPr>
            <w:r w:rsidRPr="0043094E">
              <w:rPr>
                <w:rFonts w:cs="Times New Roman"/>
                <w:sz w:val="16"/>
                <w:szCs w:val="16"/>
              </w:rPr>
              <w:t>kivid lõigule d=20-35 cm (tk)</w:t>
            </w:r>
          </w:p>
        </w:tc>
        <w:tc>
          <w:tcPr>
            <w:tcW w:w="936" w:type="dxa"/>
          </w:tcPr>
          <w:p w14:paraId="67DC5B47" w14:textId="77777777" w:rsidR="008429D2" w:rsidRPr="0043094E" w:rsidRDefault="008429D2" w:rsidP="00A20CB7">
            <w:pPr>
              <w:jc w:val="center"/>
              <w:rPr>
                <w:rFonts w:cs="Times New Roman"/>
                <w:sz w:val="16"/>
                <w:szCs w:val="16"/>
              </w:rPr>
            </w:pPr>
            <w:r w:rsidRPr="0043094E">
              <w:rPr>
                <w:rFonts w:cs="Times New Roman"/>
                <w:sz w:val="16"/>
                <w:szCs w:val="16"/>
              </w:rPr>
              <w:t>kivid lõigule d=35-50 cm (tk)</w:t>
            </w:r>
          </w:p>
        </w:tc>
      </w:tr>
      <w:tr w:rsidR="008429D2" w:rsidRPr="0043094E" w14:paraId="3C1DEE67" w14:textId="77777777" w:rsidTr="00A20CB7">
        <w:tc>
          <w:tcPr>
            <w:tcW w:w="846" w:type="dxa"/>
          </w:tcPr>
          <w:p w14:paraId="1342286D" w14:textId="77777777" w:rsidR="008429D2" w:rsidRPr="0043094E" w:rsidRDefault="008429D2" w:rsidP="00A20CB7">
            <w:pPr>
              <w:jc w:val="center"/>
              <w:rPr>
                <w:rFonts w:cs="Times New Roman"/>
                <w:sz w:val="16"/>
                <w:szCs w:val="16"/>
              </w:rPr>
            </w:pPr>
            <w:r w:rsidRPr="0043094E">
              <w:rPr>
                <w:rFonts w:cs="Times New Roman"/>
                <w:sz w:val="16"/>
                <w:szCs w:val="16"/>
              </w:rPr>
              <w:t>lõik</w:t>
            </w:r>
          </w:p>
        </w:tc>
        <w:tc>
          <w:tcPr>
            <w:tcW w:w="1276" w:type="dxa"/>
          </w:tcPr>
          <w:p w14:paraId="6C159EC8" w14:textId="77777777" w:rsidR="008429D2" w:rsidRPr="0043094E" w:rsidRDefault="008429D2" w:rsidP="00A20CB7">
            <w:pPr>
              <w:jc w:val="center"/>
              <w:rPr>
                <w:rFonts w:cs="Times New Roman"/>
                <w:sz w:val="16"/>
                <w:szCs w:val="16"/>
              </w:rPr>
            </w:pPr>
            <w:r w:rsidRPr="005B4C8F">
              <w:rPr>
                <w:rFonts w:cs="Times New Roman"/>
                <w:sz w:val="16"/>
                <w:szCs w:val="16"/>
              </w:rPr>
              <w:t>66201:001:0355</w:t>
            </w:r>
          </w:p>
        </w:tc>
        <w:tc>
          <w:tcPr>
            <w:tcW w:w="1275" w:type="dxa"/>
          </w:tcPr>
          <w:p w14:paraId="14795FE9" w14:textId="77777777" w:rsidR="008429D2" w:rsidRPr="0043094E" w:rsidRDefault="008429D2" w:rsidP="00A20CB7">
            <w:pPr>
              <w:jc w:val="center"/>
              <w:rPr>
                <w:rFonts w:cs="Times New Roman"/>
                <w:sz w:val="16"/>
                <w:szCs w:val="16"/>
              </w:rPr>
            </w:pPr>
            <w:r w:rsidRPr="00224B57">
              <w:rPr>
                <w:rFonts w:cs="Times New Roman"/>
                <w:sz w:val="16"/>
                <w:szCs w:val="16"/>
              </w:rPr>
              <w:t>X= 6583308.84 Y= 627957.81</w:t>
            </w:r>
          </w:p>
        </w:tc>
        <w:tc>
          <w:tcPr>
            <w:tcW w:w="1276" w:type="dxa"/>
          </w:tcPr>
          <w:p w14:paraId="0F612DDD" w14:textId="77777777" w:rsidR="008429D2" w:rsidRPr="0043094E" w:rsidRDefault="008429D2" w:rsidP="00A20CB7">
            <w:pPr>
              <w:jc w:val="center"/>
              <w:rPr>
                <w:rFonts w:cs="Times New Roman"/>
                <w:sz w:val="16"/>
                <w:szCs w:val="16"/>
              </w:rPr>
            </w:pPr>
            <w:r w:rsidRPr="00224B57">
              <w:rPr>
                <w:rFonts w:cs="Times New Roman"/>
                <w:sz w:val="16"/>
                <w:szCs w:val="16"/>
              </w:rPr>
              <w:t xml:space="preserve">X= </w:t>
            </w:r>
            <w:r w:rsidRPr="00B62D82">
              <w:rPr>
                <w:rFonts w:cs="Times New Roman"/>
                <w:sz w:val="16"/>
                <w:szCs w:val="16"/>
              </w:rPr>
              <w:t>658276</w:t>
            </w:r>
            <w:r>
              <w:rPr>
                <w:rFonts w:cs="Times New Roman"/>
                <w:sz w:val="16"/>
                <w:szCs w:val="16"/>
              </w:rPr>
              <w:t>4.9</w:t>
            </w:r>
            <w:r w:rsidRPr="00B62D82">
              <w:rPr>
                <w:rFonts w:cs="Times New Roman"/>
                <w:sz w:val="16"/>
                <w:szCs w:val="16"/>
              </w:rPr>
              <w:t xml:space="preserve"> </w:t>
            </w:r>
            <w:r w:rsidRPr="00224B57">
              <w:rPr>
                <w:rFonts w:cs="Times New Roman"/>
                <w:sz w:val="16"/>
                <w:szCs w:val="16"/>
              </w:rPr>
              <w:t xml:space="preserve">Y= </w:t>
            </w:r>
            <w:r w:rsidRPr="00B62D82">
              <w:rPr>
                <w:rFonts w:cs="Times New Roman"/>
                <w:sz w:val="16"/>
                <w:szCs w:val="16"/>
              </w:rPr>
              <w:t>627888</w:t>
            </w:r>
            <w:r>
              <w:rPr>
                <w:rFonts w:cs="Times New Roman"/>
                <w:sz w:val="16"/>
                <w:szCs w:val="16"/>
              </w:rPr>
              <w:t>.3</w:t>
            </w:r>
          </w:p>
        </w:tc>
        <w:tc>
          <w:tcPr>
            <w:tcW w:w="851" w:type="dxa"/>
          </w:tcPr>
          <w:p w14:paraId="1E291DF3" w14:textId="77777777" w:rsidR="008429D2" w:rsidRPr="0043094E" w:rsidRDefault="008429D2" w:rsidP="00A20CB7">
            <w:pPr>
              <w:jc w:val="center"/>
              <w:rPr>
                <w:rFonts w:cs="Times New Roman"/>
                <w:sz w:val="16"/>
                <w:szCs w:val="16"/>
              </w:rPr>
            </w:pPr>
            <w:r>
              <w:rPr>
                <w:rFonts w:cs="Times New Roman"/>
                <w:sz w:val="16"/>
                <w:szCs w:val="16"/>
              </w:rPr>
              <w:t>600</w:t>
            </w:r>
          </w:p>
        </w:tc>
        <w:tc>
          <w:tcPr>
            <w:tcW w:w="1134" w:type="dxa"/>
          </w:tcPr>
          <w:p w14:paraId="2A6EC2A1" w14:textId="77777777" w:rsidR="008429D2" w:rsidRPr="0043094E" w:rsidRDefault="008429D2" w:rsidP="00A20CB7">
            <w:pPr>
              <w:jc w:val="center"/>
              <w:rPr>
                <w:rFonts w:cs="Times New Roman"/>
                <w:sz w:val="16"/>
                <w:szCs w:val="16"/>
              </w:rPr>
            </w:pPr>
            <w:r>
              <w:rPr>
                <w:rFonts w:cs="Times New Roman"/>
                <w:sz w:val="16"/>
                <w:szCs w:val="16"/>
              </w:rPr>
              <w:t>3</w:t>
            </w:r>
          </w:p>
        </w:tc>
        <w:tc>
          <w:tcPr>
            <w:tcW w:w="708" w:type="dxa"/>
          </w:tcPr>
          <w:p w14:paraId="762D5BAC" w14:textId="77777777" w:rsidR="008429D2" w:rsidRPr="0043094E" w:rsidRDefault="008429D2" w:rsidP="00A20CB7">
            <w:pPr>
              <w:jc w:val="center"/>
              <w:rPr>
                <w:rFonts w:cs="Times New Roman"/>
                <w:sz w:val="16"/>
                <w:szCs w:val="16"/>
              </w:rPr>
            </w:pPr>
            <w:r>
              <w:rPr>
                <w:rFonts w:cs="Times New Roman"/>
                <w:sz w:val="16"/>
                <w:szCs w:val="16"/>
              </w:rPr>
              <w:t>1.5</w:t>
            </w:r>
          </w:p>
        </w:tc>
        <w:tc>
          <w:tcPr>
            <w:tcW w:w="760" w:type="dxa"/>
          </w:tcPr>
          <w:p w14:paraId="4522D6BC" w14:textId="77777777" w:rsidR="008429D2" w:rsidRPr="0043094E" w:rsidRDefault="008429D2" w:rsidP="00A20CB7">
            <w:pPr>
              <w:jc w:val="center"/>
              <w:rPr>
                <w:rFonts w:cs="Times New Roman"/>
                <w:sz w:val="16"/>
                <w:szCs w:val="16"/>
              </w:rPr>
            </w:pPr>
            <w:r>
              <w:rPr>
                <w:rFonts w:cs="Times New Roman"/>
                <w:sz w:val="16"/>
                <w:szCs w:val="16"/>
              </w:rPr>
              <w:t>95</w:t>
            </w:r>
          </w:p>
        </w:tc>
        <w:tc>
          <w:tcPr>
            <w:tcW w:w="936" w:type="dxa"/>
          </w:tcPr>
          <w:p w14:paraId="6494D0DF" w14:textId="77777777" w:rsidR="008429D2" w:rsidRPr="0043094E" w:rsidRDefault="008429D2" w:rsidP="00A20CB7">
            <w:pPr>
              <w:jc w:val="center"/>
              <w:rPr>
                <w:rFonts w:cs="Times New Roman"/>
                <w:sz w:val="16"/>
                <w:szCs w:val="16"/>
              </w:rPr>
            </w:pPr>
            <w:r>
              <w:rPr>
                <w:rFonts w:cs="Times New Roman"/>
                <w:sz w:val="16"/>
                <w:szCs w:val="16"/>
              </w:rPr>
              <w:t>40</w:t>
            </w:r>
          </w:p>
        </w:tc>
      </w:tr>
    </w:tbl>
    <w:p w14:paraId="45814056" w14:textId="77777777" w:rsidR="0065554C" w:rsidRDefault="0065554C" w:rsidP="00A92869">
      <w:pPr>
        <w:jc w:val="both"/>
        <w:rPr>
          <w:szCs w:val="24"/>
        </w:rPr>
      </w:pPr>
    </w:p>
    <w:p w14:paraId="131BA0BA" w14:textId="77777777" w:rsidR="00C16871" w:rsidRPr="00C16871" w:rsidRDefault="00C16871" w:rsidP="00C16871">
      <w:pPr>
        <w:pStyle w:val="Loendilik"/>
        <w:numPr>
          <w:ilvl w:val="0"/>
          <w:numId w:val="1"/>
        </w:numPr>
        <w:jc w:val="both"/>
        <w:rPr>
          <w:b/>
          <w:bCs/>
          <w:color w:val="000000" w:themeColor="text1"/>
          <w:szCs w:val="24"/>
        </w:rPr>
      </w:pPr>
      <w:r w:rsidRPr="00C16871">
        <w:rPr>
          <w:b/>
          <w:bCs/>
          <w:color w:val="000000" w:themeColor="text1"/>
          <w:szCs w:val="24"/>
        </w:rPr>
        <w:t>NÕUDED EHITUSPROJEKTI EELUURINGUTELE</w:t>
      </w:r>
    </w:p>
    <w:p w14:paraId="0794BD4D" w14:textId="77777777" w:rsidR="00C62433" w:rsidRPr="00C62433" w:rsidRDefault="00C62433" w:rsidP="00C62433">
      <w:pPr>
        <w:jc w:val="both"/>
        <w:rPr>
          <w:i/>
          <w:iCs/>
          <w:color w:val="000000" w:themeColor="text1"/>
          <w:szCs w:val="24"/>
        </w:rPr>
      </w:pPr>
      <w:r w:rsidRPr="00C62433">
        <w:rPr>
          <w:b/>
          <w:bCs/>
          <w:color w:val="000000" w:themeColor="text1"/>
          <w:szCs w:val="24"/>
        </w:rPr>
        <w:t>Töövõtja arvestab enne projekteerimisega alustamist ametkondade esitatud seisukohtadega.</w:t>
      </w:r>
      <w:r w:rsidRPr="00C62433">
        <w:rPr>
          <w:color w:val="000000" w:themeColor="text1"/>
          <w:szCs w:val="24"/>
        </w:rPr>
        <w:t xml:space="preserve"> Kõik ametkondade seiskohad on esitatud käesoleva tehnilise kirjelduse lisades.</w:t>
      </w:r>
    </w:p>
    <w:p w14:paraId="005D9BAD" w14:textId="77777777" w:rsidR="00FA26AC" w:rsidRDefault="00FA26AC" w:rsidP="00C62433">
      <w:pPr>
        <w:jc w:val="both"/>
        <w:rPr>
          <w:color w:val="000000" w:themeColor="text1"/>
        </w:rPr>
      </w:pPr>
      <w:r w:rsidRPr="00FA26AC">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540087CA" w14:textId="34A3186F" w:rsidR="00C62433" w:rsidRPr="00C62433" w:rsidRDefault="00BD25AC" w:rsidP="00C62433">
      <w:pPr>
        <w:jc w:val="both"/>
        <w:rPr>
          <w:color w:val="000000" w:themeColor="text1"/>
          <w:szCs w:val="24"/>
        </w:rPr>
      </w:pPr>
      <w:r w:rsidRPr="00BD25AC">
        <w:rPr>
          <w:color w:val="000000" w:themeColor="text1"/>
          <w:szCs w:val="24"/>
        </w:rPr>
        <w:t>Uurimisala ulatus ja objekti asendiplaan</w:t>
      </w:r>
      <w:r>
        <w:rPr>
          <w:color w:val="000000" w:themeColor="text1"/>
          <w:szCs w:val="24"/>
        </w:rPr>
        <w:t xml:space="preserve"> </w:t>
      </w:r>
      <w:r w:rsidR="00C62433" w:rsidRPr="00C62433">
        <w:rPr>
          <w:color w:val="000000" w:themeColor="text1"/>
          <w:szCs w:val="24"/>
        </w:rPr>
        <w:t xml:space="preserve">on kirjeldatud </w:t>
      </w:r>
      <w:r w:rsidR="00C62433" w:rsidRPr="00C62433">
        <w:rPr>
          <w:b/>
          <w:bCs/>
          <w:color w:val="000000" w:themeColor="text1"/>
          <w:szCs w:val="24"/>
        </w:rPr>
        <w:t xml:space="preserve">lisas </w:t>
      </w:r>
      <w:r w:rsidR="001218DF">
        <w:rPr>
          <w:b/>
          <w:bCs/>
          <w:color w:val="000000" w:themeColor="text1"/>
          <w:szCs w:val="24"/>
        </w:rPr>
        <w:t>3</w:t>
      </w:r>
      <w:r w:rsidR="00C62433" w:rsidRPr="00C62433">
        <w:rPr>
          <w:b/>
          <w:bCs/>
          <w:color w:val="000000" w:themeColor="text1"/>
          <w:szCs w:val="24"/>
        </w:rPr>
        <w:t>-1</w:t>
      </w:r>
      <w:r w:rsidR="00C62433" w:rsidRPr="00C62433">
        <w:rPr>
          <w:color w:val="000000" w:themeColor="text1"/>
          <w:szCs w:val="24"/>
        </w:rPr>
        <w:t>.</w:t>
      </w:r>
    </w:p>
    <w:p w14:paraId="67D9D77A" w14:textId="47B10707" w:rsidR="00B022C0" w:rsidRDefault="00B022C0" w:rsidP="00B022C0">
      <w:pPr>
        <w:spacing w:after="0"/>
        <w:jc w:val="both"/>
        <w:rPr>
          <w:color w:val="000000" w:themeColor="text1"/>
        </w:rPr>
      </w:pPr>
      <w:r w:rsidRPr="00AC0F54">
        <w:rPr>
          <w:color w:val="000000" w:themeColor="text1"/>
        </w:rPr>
        <w:t xml:space="preserve">Töövõtja selgitab välja lisas </w:t>
      </w:r>
      <w:r w:rsidR="001218DF">
        <w:rPr>
          <w:color w:val="000000" w:themeColor="text1"/>
        </w:rPr>
        <w:t>3</w:t>
      </w:r>
      <w:r w:rsidRPr="00AC0F54">
        <w:rPr>
          <w:color w:val="000000" w:themeColor="text1"/>
        </w:rPr>
        <w:t>-1 märgitud aladel tehtavate taastamistegevuste mõjuala ja viib mõjuala ulatuses läbi taastamistööde elluviimiseks ning projekteerimistööde aluseks vajalikud mõõdistused.</w:t>
      </w:r>
      <w:r>
        <w:rPr>
          <w:color w:val="000000" w:themeColor="text1"/>
        </w:rPr>
        <w:t xml:space="preserve"> </w:t>
      </w:r>
      <w:r w:rsidRPr="007533F5">
        <w:rPr>
          <w:color w:val="000000" w:themeColor="text1"/>
        </w:rPr>
        <w:t>Enne projekteerimisega alustamist kohustub töövõtja:</w:t>
      </w:r>
    </w:p>
    <w:p w14:paraId="3B6B3216" w14:textId="77777777" w:rsidR="00871F80" w:rsidRPr="00B022C0" w:rsidRDefault="00871F80" w:rsidP="00871F80">
      <w:pPr>
        <w:pStyle w:val="Loendilik"/>
        <w:numPr>
          <w:ilvl w:val="0"/>
          <w:numId w:val="12"/>
        </w:numPr>
        <w:spacing w:after="0"/>
        <w:jc w:val="both"/>
        <w:rPr>
          <w:color w:val="000000" w:themeColor="text1"/>
        </w:rPr>
      </w:pPr>
      <w:r w:rsidRPr="00B022C0">
        <w:rPr>
          <w:color w:val="000000" w:themeColor="text1"/>
        </w:rPr>
        <w:lastRenderedPageBreak/>
        <w:t>teostama vajalikud hüdroloogilised uuringud, mis hõlmavad hüdroloogilisi koondandmeid, hüdrograafe, minimaalseid ja maksimaalseid vooluhulki ja tõenäosuskõveraid;</w:t>
      </w:r>
    </w:p>
    <w:p w14:paraId="524595C3" w14:textId="5ED27686" w:rsidR="007533F5" w:rsidRDefault="007533F5" w:rsidP="007533F5">
      <w:pPr>
        <w:numPr>
          <w:ilvl w:val="0"/>
          <w:numId w:val="12"/>
        </w:numPr>
        <w:spacing w:after="0"/>
        <w:jc w:val="both"/>
        <w:rPr>
          <w:color w:val="000000" w:themeColor="text1"/>
        </w:rPr>
      </w:pPr>
      <w:r w:rsidRPr="007533F5">
        <w:rPr>
          <w:color w:val="000000" w:themeColor="text1"/>
        </w:rPr>
        <w:t>teostama vajalikud geoloogilised uuringud;</w:t>
      </w:r>
    </w:p>
    <w:p w14:paraId="528F37B9" w14:textId="77777777" w:rsidR="007533F5" w:rsidRPr="007533F5" w:rsidRDefault="007533F5" w:rsidP="007533F5">
      <w:pPr>
        <w:numPr>
          <w:ilvl w:val="0"/>
          <w:numId w:val="12"/>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p>
    <w:p w14:paraId="1A69CCDF" w14:textId="29E25E99" w:rsidR="00CD2178" w:rsidRDefault="00021B99" w:rsidP="00CD2178">
      <w:pPr>
        <w:numPr>
          <w:ilvl w:val="0"/>
          <w:numId w:val="12"/>
        </w:numPr>
        <w:spacing w:after="0"/>
        <w:jc w:val="both"/>
        <w:rPr>
          <w:color w:val="000000" w:themeColor="text1"/>
        </w:rPr>
      </w:pPr>
      <w:r w:rsidRPr="00021B99">
        <w:rPr>
          <w:color w:val="000000" w:themeColor="text1"/>
        </w:rPr>
        <w:t xml:space="preserve">koostama jõe pikiprofiili asendiplaani ja mõõdistama selleks ristprofiili iga 100 meetri tagant, hõlmates ka kaldaid. Kaldaid tuleb mõõdistada selliselt, et oleks võimalik tuvastada kalda nõlva kalle ja kuju. Projekteerija hindab objektist lähtuvalt, mis ulatuses tuleb mõõdistusi jätkata väljaspool lisas </w:t>
      </w:r>
      <w:r w:rsidR="00004287">
        <w:rPr>
          <w:color w:val="000000" w:themeColor="text1"/>
        </w:rPr>
        <w:t>3</w:t>
      </w:r>
      <w:r w:rsidRPr="00021B99">
        <w:rPr>
          <w:color w:val="000000" w:themeColor="text1"/>
        </w:rPr>
        <w:t>-1 esitatud asendiplaanil märgitud uuringualasid lähtudes tegevuse võimalikust mõjualast ning maakasutuse tüübist</w:t>
      </w:r>
      <w:r w:rsidR="00CD2178" w:rsidRPr="00A45418">
        <w:rPr>
          <w:color w:val="000000" w:themeColor="text1"/>
        </w:rPr>
        <w:t>;</w:t>
      </w:r>
    </w:p>
    <w:p w14:paraId="07C55E64" w14:textId="20DD81B9" w:rsidR="00AD5B29" w:rsidRPr="00AD5B29" w:rsidRDefault="00AD5B29" w:rsidP="00AD5B29">
      <w:pPr>
        <w:numPr>
          <w:ilvl w:val="0"/>
          <w:numId w:val="12"/>
        </w:numPr>
        <w:spacing w:after="0"/>
        <w:jc w:val="both"/>
        <w:rPr>
          <w:color w:val="000000" w:themeColor="text1"/>
        </w:rPr>
      </w:pPr>
      <w:r w:rsidRPr="00AD5B29">
        <w:rPr>
          <w:color w:val="000000" w:themeColor="text1"/>
        </w:rPr>
        <w:t>määrama drenaažisuudmete täpsed asukohad, hindama nende seisukorda ning kirjeldama need seletuskirjas ja</w:t>
      </w:r>
      <w:r w:rsidR="00117FD0" w:rsidRPr="00117FD0">
        <w:rPr>
          <w:color w:val="000000"/>
          <w:sz w:val="27"/>
          <w:szCs w:val="27"/>
        </w:rPr>
        <w:t xml:space="preserve"> </w:t>
      </w:r>
      <w:r w:rsidR="00117FD0" w:rsidRPr="00117FD0">
        <w:rPr>
          <w:color w:val="000000" w:themeColor="text1"/>
        </w:rPr>
        <w:t>jõe pikiprofiili</w:t>
      </w:r>
      <w:r w:rsidRPr="00AD5B29">
        <w:rPr>
          <w:color w:val="000000" w:themeColor="text1"/>
        </w:rPr>
        <w:t xml:space="preserve"> asendiplaanil;</w:t>
      </w:r>
    </w:p>
    <w:p w14:paraId="292F1AF7" w14:textId="26A0EA13" w:rsidR="00574D77" w:rsidRPr="00574D77" w:rsidRDefault="00574D77" w:rsidP="00574D77">
      <w:pPr>
        <w:numPr>
          <w:ilvl w:val="0"/>
          <w:numId w:val="12"/>
        </w:numPr>
        <w:spacing w:after="0"/>
        <w:jc w:val="both"/>
        <w:rPr>
          <w:color w:val="000000" w:themeColor="text1"/>
        </w:rPr>
      </w:pPr>
      <w:r>
        <w:rPr>
          <w:color w:val="000000" w:themeColor="text1"/>
        </w:rPr>
        <w:t>h</w:t>
      </w:r>
      <w:r w:rsidRPr="00EA2532">
        <w:rPr>
          <w:color w:val="000000" w:themeColor="text1"/>
        </w:rPr>
        <w:t xml:space="preserve">indama kopra tegevuse mõju </w:t>
      </w:r>
      <w:r>
        <w:rPr>
          <w:color w:val="000000" w:themeColor="text1"/>
        </w:rPr>
        <w:t xml:space="preserve">parendatavate alade asukohas veekogu </w:t>
      </w:r>
      <w:proofErr w:type="spellStart"/>
      <w:r>
        <w:rPr>
          <w:color w:val="000000" w:themeColor="text1"/>
        </w:rPr>
        <w:t>hüdromorfoloogiale</w:t>
      </w:r>
      <w:proofErr w:type="spellEnd"/>
      <w:r>
        <w:rPr>
          <w:color w:val="000000" w:themeColor="text1"/>
        </w:rPr>
        <w:t xml:space="preserve"> ning mõju esinedes suhtlema RMK veeökoloogiga.</w:t>
      </w:r>
    </w:p>
    <w:p w14:paraId="4148878B" w14:textId="77777777" w:rsidR="005D02C5" w:rsidRPr="007533F5" w:rsidRDefault="005D02C5" w:rsidP="005D02C5">
      <w:pPr>
        <w:spacing w:after="0"/>
        <w:jc w:val="both"/>
        <w:rPr>
          <w:color w:val="000000" w:themeColor="text1"/>
        </w:rPr>
      </w:pPr>
    </w:p>
    <w:p w14:paraId="1917EC97" w14:textId="77777777" w:rsidR="007533F5" w:rsidRPr="007533F5" w:rsidRDefault="007533F5" w:rsidP="007533F5">
      <w:pPr>
        <w:spacing w:after="0"/>
        <w:jc w:val="both"/>
        <w:rPr>
          <w:color w:val="000000" w:themeColor="text1"/>
        </w:rPr>
      </w:pPr>
      <w:r w:rsidRPr="007533F5">
        <w:rPr>
          <w:color w:val="000000" w:themeColor="text1"/>
        </w:rPr>
        <w:t>Töövõtja hindab projekteerimise käigus:</w:t>
      </w:r>
    </w:p>
    <w:p w14:paraId="2F72963E" w14:textId="77777777" w:rsidR="005E6F03" w:rsidRDefault="005E6F03" w:rsidP="007533F5">
      <w:pPr>
        <w:numPr>
          <w:ilvl w:val="0"/>
          <w:numId w:val="13"/>
        </w:numPr>
        <w:spacing w:after="0"/>
        <w:jc w:val="both"/>
        <w:rPr>
          <w:color w:val="000000" w:themeColor="text1"/>
        </w:rPr>
      </w:pPr>
      <w:r w:rsidRPr="005E6F03">
        <w:rPr>
          <w:color w:val="000000" w:themeColor="text1"/>
        </w:rPr>
        <w:t>jõesängi mitmekesistamise eesmärgil jõkke paigutatud maakivide ja kudesubstraadi paisutuse mõju ülesvoolu ümbritsevate maaparandussüsteemide toimimisele;</w:t>
      </w:r>
    </w:p>
    <w:p w14:paraId="27B5EFAE" w14:textId="2D1F93B7" w:rsidR="007533F5" w:rsidRPr="007533F5" w:rsidRDefault="007533F5" w:rsidP="007533F5">
      <w:pPr>
        <w:numPr>
          <w:ilvl w:val="0"/>
          <w:numId w:val="13"/>
        </w:numPr>
        <w:spacing w:after="0"/>
        <w:jc w:val="both"/>
        <w:rPr>
          <w:color w:val="000000" w:themeColor="text1"/>
        </w:rPr>
      </w:pPr>
      <w:r w:rsidRPr="007533F5">
        <w:rPr>
          <w:color w:val="000000" w:themeColor="text1"/>
        </w:rPr>
        <w:t>kudepadjandite ja maakivide paisutuse mõju pinnasele mõjuala piires;</w:t>
      </w:r>
    </w:p>
    <w:p w14:paraId="5FD209A8" w14:textId="776A6441" w:rsidR="005D0858" w:rsidRPr="007826C0" w:rsidRDefault="007533F5" w:rsidP="00861B90">
      <w:pPr>
        <w:numPr>
          <w:ilvl w:val="0"/>
          <w:numId w:val="13"/>
        </w:numPr>
        <w:spacing w:after="0"/>
        <w:jc w:val="both"/>
        <w:rPr>
          <w:color w:val="000000" w:themeColor="text1"/>
        </w:rPr>
      </w:pPr>
      <w:r w:rsidRPr="007826C0">
        <w:rPr>
          <w:color w:val="000000" w:themeColor="text1"/>
        </w:rPr>
        <w:t xml:space="preserve">kudepadjandite ja maakivide paisutuse mõju ümbritsevatele kinnistutele, s.h. </w:t>
      </w:r>
      <w:r w:rsidR="007826C0" w:rsidRPr="007826C0">
        <w:rPr>
          <w:color w:val="000000" w:themeColor="text1"/>
        </w:rPr>
        <w:t>arvestades erinevaid veetasemeid ja vooluhulkasid</w:t>
      </w:r>
      <w:r w:rsidR="007826C0">
        <w:rPr>
          <w:color w:val="000000" w:themeColor="text1"/>
        </w:rPr>
        <w:t>.</w:t>
      </w:r>
    </w:p>
    <w:p w14:paraId="23CBF504" w14:textId="77777777" w:rsidR="005D0858" w:rsidRPr="005D0858" w:rsidRDefault="005D0858" w:rsidP="005D0858">
      <w:pPr>
        <w:spacing w:after="0"/>
        <w:jc w:val="both"/>
        <w:rPr>
          <w:color w:val="000000" w:themeColor="text1"/>
        </w:rPr>
      </w:pPr>
    </w:p>
    <w:p w14:paraId="56320A96" w14:textId="5A484D20" w:rsidR="00894D2C" w:rsidRPr="002D06D1" w:rsidRDefault="002D06D1" w:rsidP="002D06D1">
      <w:pPr>
        <w:pStyle w:val="Loendilik"/>
        <w:numPr>
          <w:ilvl w:val="0"/>
          <w:numId w:val="1"/>
        </w:numPr>
        <w:jc w:val="both"/>
        <w:rPr>
          <w:b/>
          <w:bCs/>
          <w:color w:val="000000" w:themeColor="text1"/>
          <w:szCs w:val="24"/>
        </w:rPr>
      </w:pPr>
      <w:r w:rsidRPr="004777BE">
        <w:rPr>
          <w:b/>
          <w:bCs/>
          <w:color w:val="000000" w:themeColor="text1"/>
          <w:szCs w:val="24"/>
        </w:rPr>
        <w:t>PROJEKTEERIMISTÖÖDE TEOSTAMINE</w:t>
      </w:r>
    </w:p>
    <w:p w14:paraId="713B9BE2" w14:textId="64628300" w:rsidR="00421E69" w:rsidRDefault="00217FBF" w:rsidP="00A35E2E">
      <w:pPr>
        <w:jc w:val="both"/>
        <w:rPr>
          <w:rFonts w:cs="Times New Roman"/>
        </w:rPr>
      </w:pPr>
      <w:r>
        <w:rPr>
          <w:rFonts w:cs="Times New Roman"/>
        </w:rPr>
        <w:t xml:space="preserve">Projekteerida </w:t>
      </w:r>
      <w:r w:rsidR="00C94485">
        <w:rPr>
          <w:rFonts w:cs="Times New Roman"/>
        </w:rPr>
        <w:t>Laanemõisa oja</w:t>
      </w:r>
      <w:r>
        <w:rPr>
          <w:rFonts w:cs="Times New Roman"/>
        </w:rPr>
        <w:t xml:space="preserve"> </w:t>
      </w:r>
      <w:r w:rsidR="00357494" w:rsidRPr="00357494">
        <w:rPr>
          <w:rFonts w:cs="Times New Roman"/>
        </w:rPr>
        <w:t>jõesängi mitmekesistamine maakivide ja kudepadjanditega.</w:t>
      </w:r>
    </w:p>
    <w:p w14:paraId="049D356D" w14:textId="77777777" w:rsidR="00C50535" w:rsidRDefault="00C50535" w:rsidP="00C50535">
      <w:pPr>
        <w:jc w:val="both"/>
        <w:rPr>
          <w:rFonts w:cs="Times New Roman"/>
        </w:rPr>
      </w:pPr>
      <w:r>
        <w:rPr>
          <w:rFonts w:cs="Times New Roman"/>
        </w:rPr>
        <w:t>Töövõtja peab projekteerimisel arvestama alljärgnevaga:</w:t>
      </w:r>
    </w:p>
    <w:p w14:paraId="0300D651" w14:textId="0B014FAD" w:rsidR="001D732A" w:rsidRPr="00E277A9" w:rsidRDefault="00C94485" w:rsidP="00E277A9">
      <w:pPr>
        <w:pStyle w:val="Loendilik"/>
        <w:numPr>
          <w:ilvl w:val="0"/>
          <w:numId w:val="17"/>
        </w:numPr>
        <w:jc w:val="both"/>
        <w:rPr>
          <w:rFonts w:cs="Times New Roman"/>
        </w:rPr>
      </w:pPr>
      <w:r w:rsidRPr="00E277A9">
        <w:rPr>
          <w:rFonts w:cs="Times New Roman"/>
        </w:rPr>
        <w:t xml:space="preserve">Laanemõisa oja lõigus </w:t>
      </w:r>
      <w:r w:rsidR="00FB1D01" w:rsidRPr="00E277A9">
        <w:rPr>
          <w:rFonts w:cs="Times New Roman"/>
        </w:rPr>
        <w:t xml:space="preserve">parendatakse kudepadjandite seisukorda kudesubstraadi lisamisega ning lisatakse elupaiga mitmekesistamiseks jõesängi maakive vastavalt </w:t>
      </w:r>
      <w:r w:rsidR="00B76500" w:rsidRPr="00E277A9">
        <w:rPr>
          <w:rFonts w:cs="Times New Roman"/>
        </w:rPr>
        <w:t xml:space="preserve">tabelile </w:t>
      </w:r>
      <w:r w:rsidR="002A6A38" w:rsidRPr="00E277A9">
        <w:rPr>
          <w:rFonts w:cs="Times New Roman"/>
        </w:rPr>
        <w:t xml:space="preserve">2. </w:t>
      </w:r>
    </w:p>
    <w:p w14:paraId="0F6B9792" w14:textId="0A40DF97" w:rsidR="001D732A" w:rsidRPr="00FA60FE" w:rsidRDefault="001D732A" w:rsidP="001D732A">
      <w:pPr>
        <w:jc w:val="both"/>
        <w:rPr>
          <w:rFonts w:cs="Times New Roman"/>
        </w:rPr>
      </w:pPr>
      <w:r>
        <w:rPr>
          <w:rFonts w:cs="Times New Roman"/>
        </w:rPr>
        <w:t>Tabel 2. Laanemõisa oja loodavate koelmute asukohad ja materjalide hulk</w:t>
      </w:r>
    </w:p>
    <w:tbl>
      <w:tblPr>
        <w:tblStyle w:val="Kontuurtabel"/>
        <w:tblW w:w="0" w:type="auto"/>
        <w:tblLook w:val="04A0" w:firstRow="1" w:lastRow="0" w:firstColumn="1" w:lastColumn="0" w:noHBand="0" w:noVBand="1"/>
      </w:tblPr>
      <w:tblGrid>
        <w:gridCol w:w="1581"/>
        <w:gridCol w:w="1593"/>
        <w:gridCol w:w="1237"/>
        <w:gridCol w:w="1427"/>
        <w:gridCol w:w="1612"/>
        <w:gridCol w:w="1612"/>
      </w:tblGrid>
      <w:tr w:rsidR="001D732A" w:rsidRPr="00AA212A" w14:paraId="62578EC9" w14:textId="77777777" w:rsidTr="00A20CB7">
        <w:tc>
          <w:tcPr>
            <w:tcW w:w="1581" w:type="dxa"/>
          </w:tcPr>
          <w:p w14:paraId="2DA270DD" w14:textId="77777777" w:rsidR="001D732A" w:rsidRPr="00AA212A" w:rsidRDefault="001D732A" w:rsidP="00A20CB7">
            <w:pPr>
              <w:jc w:val="both"/>
              <w:rPr>
                <w:rFonts w:cs="Times New Roman"/>
                <w:sz w:val="18"/>
                <w:szCs w:val="18"/>
              </w:rPr>
            </w:pPr>
            <w:r w:rsidRPr="00AA212A">
              <w:rPr>
                <w:rFonts w:cs="Times New Roman"/>
                <w:sz w:val="18"/>
                <w:szCs w:val="18"/>
              </w:rPr>
              <w:t>L</w:t>
            </w:r>
            <w:r>
              <w:rPr>
                <w:rFonts w:cs="Times New Roman"/>
                <w:sz w:val="18"/>
                <w:szCs w:val="18"/>
              </w:rPr>
              <w:t>aanemõisa oja</w:t>
            </w:r>
          </w:p>
        </w:tc>
        <w:tc>
          <w:tcPr>
            <w:tcW w:w="1593" w:type="dxa"/>
          </w:tcPr>
          <w:p w14:paraId="4BD0AA4C" w14:textId="77777777" w:rsidR="001D732A" w:rsidRPr="00AA212A" w:rsidRDefault="001D732A" w:rsidP="00A20CB7">
            <w:pPr>
              <w:jc w:val="center"/>
              <w:rPr>
                <w:rFonts w:cs="Times New Roman"/>
                <w:sz w:val="18"/>
                <w:szCs w:val="18"/>
              </w:rPr>
            </w:pPr>
            <w:r>
              <w:rPr>
                <w:rFonts w:cs="Times New Roman"/>
                <w:sz w:val="18"/>
                <w:szCs w:val="18"/>
              </w:rPr>
              <w:t>koordinaadid</w:t>
            </w:r>
          </w:p>
        </w:tc>
        <w:tc>
          <w:tcPr>
            <w:tcW w:w="1237" w:type="dxa"/>
          </w:tcPr>
          <w:p w14:paraId="1F22018C" w14:textId="77777777" w:rsidR="001D732A" w:rsidRPr="0003358A" w:rsidRDefault="001D732A" w:rsidP="00A20CB7">
            <w:pPr>
              <w:jc w:val="center"/>
              <w:rPr>
                <w:rFonts w:cs="Times New Roman"/>
                <w:sz w:val="18"/>
                <w:szCs w:val="18"/>
              </w:rPr>
            </w:pPr>
            <w:r>
              <w:rPr>
                <w:rFonts w:cs="Times New Roman"/>
                <w:sz w:val="18"/>
                <w:szCs w:val="18"/>
              </w:rPr>
              <w:t>lõigu pikkus (m)</w:t>
            </w:r>
          </w:p>
        </w:tc>
        <w:tc>
          <w:tcPr>
            <w:tcW w:w="1427" w:type="dxa"/>
          </w:tcPr>
          <w:p w14:paraId="76A22CD3" w14:textId="77777777" w:rsidR="001D732A" w:rsidRPr="00AA212A" w:rsidRDefault="001D732A" w:rsidP="00A20CB7">
            <w:pPr>
              <w:jc w:val="center"/>
              <w:rPr>
                <w:rFonts w:cs="Times New Roman"/>
                <w:sz w:val="18"/>
                <w:szCs w:val="18"/>
              </w:rPr>
            </w:pPr>
            <w:r>
              <w:rPr>
                <w:rFonts w:cs="Times New Roman"/>
                <w:sz w:val="18"/>
                <w:szCs w:val="18"/>
              </w:rPr>
              <w:t>v</w:t>
            </w:r>
            <w:r w:rsidRPr="0003358A">
              <w:rPr>
                <w:rFonts w:cs="Times New Roman"/>
                <w:sz w:val="18"/>
                <w:szCs w:val="18"/>
              </w:rPr>
              <w:t>eerise</w:t>
            </w:r>
            <w:r>
              <w:rPr>
                <w:rFonts w:cs="Times New Roman"/>
                <w:sz w:val="18"/>
                <w:szCs w:val="18"/>
              </w:rPr>
              <w:t xml:space="preserve"> 2-5 cm</w:t>
            </w:r>
            <w:r w:rsidRPr="0003358A">
              <w:rPr>
                <w:rFonts w:cs="Times New Roman"/>
                <w:sz w:val="18"/>
                <w:szCs w:val="18"/>
              </w:rPr>
              <w:t xml:space="preserve"> hulk (m</w:t>
            </w:r>
            <w:r w:rsidRPr="0003358A">
              <w:rPr>
                <w:rFonts w:cs="Times New Roman"/>
                <w:sz w:val="18"/>
                <w:szCs w:val="18"/>
                <w:vertAlign w:val="superscript"/>
              </w:rPr>
              <w:t>3</w:t>
            </w:r>
            <w:r w:rsidRPr="0003358A">
              <w:rPr>
                <w:rFonts w:cs="Times New Roman"/>
                <w:sz w:val="18"/>
                <w:szCs w:val="18"/>
              </w:rPr>
              <w:t>)</w:t>
            </w:r>
          </w:p>
        </w:tc>
        <w:tc>
          <w:tcPr>
            <w:tcW w:w="1612" w:type="dxa"/>
          </w:tcPr>
          <w:p w14:paraId="469E9A1B" w14:textId="77777777" w:rsidR="001D732A" w:rsidRPr="00AA212A" w:rsidRDefault="001D732A" w:rsidP="00A20CB7">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lõigule </w:t>
            </w:r>
            <w:r w:rsidRPr="0003358A">
              <w:rPr>
                <w:rFonts w:cs="Times New Roman"/>
                <w:sz w:val="18"/>
                <w:szCs w:val="18"/>
              </w:rPr>
              <w:t>d=</w:t>
            </w:r>
            <w:r>
              <w:rPr>
                <w:rFonts w:cs="Times New Roman"/>
                <w:sz w:val="18"/>
                <w:szCs w:val="18"/>
              </w:rPr>
              <w:t>20-35</w:t>
            </w:r>
            <w:r w:rsidRPr="0003358A">
              <w:rPr>
                <w:rFonts w:cs="Times New Roman"/>
                <w:sz w:val="18"/>
                <w:szCs w:val="18"/>
              </w:rPr>
              <w:t xml:space="preserve"> cm (tk)</w:t>
            </w:r>
          </w:p>
        </w:tc>
        <w:tc>
          <w:tcPr>
            <w:tcW w:w="1612" w:type="dxa"/>
          </w:tcPr>
          <w:p w14:paraId="4D8AD699" w14:textId="77777777" w:rsidR="001D732A" w:rsidRPr="0003358A" w:rsidRDefault="001D732A" w:rsidP="00A20CB7">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lõigule </w:t>
            </w:r>
            <w:r w:rsidRPr="0003358A">
              <w:rPr>
                <w:rFonts w:cs="Times New Roman"/>
                <w:sz w:val="18"/>
                <w:szCs w:val="18"/>
              </w:rPr>
              <w:t>d=3</w:t>
            </w:r>
            <w:r>
              <w:rPr>
                <w:rFonts w:cs="Times New Roman"/>
                <w:sz w:val="18"/>
                <w:szCs w:val="18"/>
              </w:rPr>
              <w:t>5-</w:t>
            </w:r>
            <w:r w:rsidRPr="0003358A">
              <w:rPr>
                <w:rFonts w:cs="Times New Roman"/>
                <w:sz w:val="18"/>
                <w:szCs w:val="18"/>
              </w:rPr>
              <w:t>50 cm (tk)</w:t>
            </w:r>
          </w:p>
        </w:tc>
      </w:tr>
      <w:tr w:rsidR="001D732A" w:rsidRPr="00AA212A" w14:paraId="15F1E2A8" w14:textId="77777777" w:rsidTr="00A20CB7">
        <w:tc>
          <w:tcPr>
            <w:tcW w:w="1581" w:type="dxa"/>
          </w:tcPr>
          <w:p w14:paraId="540DA1BD" w14:textId="77777777" w:rsidR="001D732A" w:rsidRPr="00AA212A" w:rsidRDefault="001D732A" w:rsidP="00A20CB7">
            <w:pPr>
              <w:jc w:val="both"/>
              <w:rPr>
                <w:rFonts w:cs="Times New Roman"/>
                <w:sz w:val="18"/>
                <w:szCs w:val="18"/>
              </w:rPr>
            </w:pPr>
            <w:r>
              <w:rPr>
                <w:rFonts w:cs="Times New Roman"/>
                <w:sz w:val="18"/>
                <w:szCs w:val="18"/>
              </w:rPr>
              <w:t>Kudepadjand 1</w:t>
            </w:r>
          </w:p>
        </w:tc>
        <w:tc>
          <w:tcPr>
            <w:tcW w:w="1593" w:type="dxa"/>
            <w:vAlign w:val="center"/>
          </w:tcPr>
          <w:p w14:paraId="2A02BF01" w14:textId="77777777" w:rsidR="001D732A" w:rsidRPr="00EA73AB" w:rsidRDefault="001D732A" w:rsidP="00A20CB7">
            <w:pPr>
              <w:jc w:val="center"/>
              <w:rPr>
                <w:rFonts w:cs="Times New Roman"/>
                <w:sz w:val="18"/>
                <w:szCs w:val="18"/>
              </w:rPr>
            </w:pPr>
            <w:r w:rsidRPr="00EA73AB">
              <w:rPr>
                <w:rFonts w:cs="Times New Roman"/>
                <w:sz w:val="18"/>
                <w:szCs w:val="18"/>
              </w:rPr>
              <w:t>X=6583224.97  Y=627949.56</w:t>
            </w:r>
          </w:p>
        </w:tc>
        <w:tc>
          <w:tcPr>
            <w:tcW w:w="1237" w:type="dxa"/>
            <w:vMerge w:val="restart"/>
          </w:tcPr>
          <w:p w14:paraId="4666600E" w14:textId="77777777" w:rsidR="001D732A" w:rsidRDefault="001D732A" w:rsidP="00A20CB7">
            <w:pPr>
              <w:jc w:val="center"/>
              <w:rPr>
                <w:rFonts w:cs="Times New Roman"/>
                <w:sz w:val="18"/>
                <w:szCs w:val="18"/>
              </w:rPr>
            </w:pPr>
            <w:r>
              <w:rPr>
                <w:rFonts w:cs="Times New Roman"/>
                <w:sz w:val="18"/>
                <w:szCs w:val="18"/>
              </w:rPr>
              <w:t>190</w:t>
            </w:r>
          </w:p>
        </w:tc>
        <w:tc>
          <w:tcPr>
            <w:tcW w:w="1427" w:type="dxa"/>
          </w:tcPr>
          <w:p w14:paraId="607FD8FE" w14:textId="77777777" w:rsidR="001D732A" w:rsidRPr="00AA212A" w:rsidRDefault="001D732A" w:rsidP="00A20CB7">
            <w:pPr>
              <w:jc w:val="center"/>
              <w:rPr>
                <w:rFonts w:cs="Times New Roman"/>
                <w:sz w:val="18"/>
                <w:szCs w:val="18"/>
              </w:rPr>
            </w:pPr>
            <w:r>
              <w:rPr>
                <w:rFonts w:cs="Times New Roman"/>
                <w:sz w:val="18"/>
                <w:szCs w:val="18"/>
              </w:rPr>
              <w:t>1,5</w:t>
            </w:r>
          </w:p>
        </w:tc>
        <w:tc>
          <w:tcPr>
            <w:tcW w:w="1612" w:type="dxa"/>
          </w:tcPr>
          <w:p w14:paraId="23B4754C" w14:textId="77777777" w:rsidR="001D732A" w:rsidRPr="00AA212A" w:rsidRDefault="001D732A" w:rsidP="00A20CB7">
            <w:pPr>
              <w:jc w:val="center"/>
              <w:rPr>
                <w:rFonts w:cs="Times New Roman"/>
                <w:sz w:val="18"/>
                <w:szCs w:val="18"/>
              </w:rPr>
            </w:pPr>
            <w:r>
              <w:rPr>
                <w:rFonts w:cs="Times New Roman"/>
                <w:sz w:val="18"/>
                <w:szCs w:val="18"/>
              </w:rPr>
              <w:t>15</w:t>
            </w:r>
          </w:p>
        </w:tc>
        <w:tc>
          <w:tcPr>
            <w:tcW w:w="1612" w:type="dxa"/>
          </w:tcPr>
          <w:p w14:paraId="5D04A319" w14:textId="77777777" w:rsidR="001D732A" w:rsidRPr="00AA212A" w:rsidRDefault="001D732A" w:rsidP="00A20CB7">
            <w:pPr>
              <w:jc w:val="center"/>
              <w:rPr>
                <w:rFonts w:cs="Times New Roman"/>
                <w:sz w:val="18"/>
                <w:szCs w:val="18"/>
              </w:rPr>
            </w:pPr>
            <w:r>
              <w:rPr>
                <w:rFonts w:cs="Times New Roman"/>
                <w:sz w:val="18"/>
                <w:szCs w:val="18"/>
              </w:rPr>
              <w:t>10</w:t>
            </w:r>
          </w:p>
        </w:tc>
      </w:tr>
      <w:tr w:rsidR="001D732A" w:rsidRPr="00AA212A" w14:paraId="5BDFC5E9" w14:textId="77777777" w:rsidTr="00A20CB7">
        <w:tc>
          <w:tcPr>
            <w:tcW w:w="1581" w:type="dxa"/>
          </w:tcPr>
          <w:p w14:paraId="7B910212" w14:textId="77777777" w:rsidR="001D732A" w:rsidRPr="00AA212A" w:rsidRDefault="001D732A" w:rsidP="00A20CB7">
            <w:pPr>
              <w:jc w:val="both"/>
              <w:rPr>
                <w:rFonts w:cs="Times New Roman"/>
                <w:sz w:val="18"/>
                <w:szCs w:val="18"/>
              </w:rPr>
            </w:pPr>
            <w:r>
              <w:rPr>
                <w:rFonts w:cs="Times New Roman"/>
                <w:sz w:val="18"/>
                <w:szCs w:val="18"/>
              </w:rPr>
              <w:t>Kudepadjand 2</w:t>
            </w:r>
          </w:p>
        </w:tc>
        <w:tc>
          <w:tcPr>
            <w:tcW w:w="1593" w:type="dxa"/>
            <w:vAlign w:val="center"/>
          </w:tcPr>
          <w:p w14:paraId="050971D7" w14:textId="77777777" w:rsidR="001D732A" w:rsidRPr="00EA73AB" w:rsidRDefault="001D732A" w:rsidP="00A20CB7">
            <w:pPr>
              <w:jc w:val="center"/>
              <w:rPr>
                <w:rFonts w:cs="Times New Roman"/>
                <w:sz w:val="18"/>
                <w:szCs w:val="18"/>
              </w:rPr>
            </w:pPr>
            <w:r w:rsidRPr="00EA73AB">
              <w:rPr>
                <w:rFonts w:cs="Times New Roman"/>
                <w:sz w:val="18"/>
                <w:szCs w:val="18"/>
              </w:rPr>
              <w:t>X=6583131.60  Y=627935.31</w:t>
            </w:r>
          </w:p>
        </w:tc>
        <w:tc>
          <w:tcPr>
            <w:tcW w:w="1237" w:type="dxa"/>
            <w:vMerge/>
          </w:tcPr>
          <w:p w14:paraId="5660FDFA" w14:textId="77777777" w:rsidR="001D732A" w:rsidRPr="00E177C3" w:rsidRDefault="001D732A" w:rsidP="00A20CB7">
            <w:pPr>
              <w:jc w:val="center"/>
              <w:rPr>
                <w:rFonts w:cs="Times New Roman"/>
                <w:sz w:val="18"/>
                <w:szCs w:val="18"/>
              </w:rPr>
            </w:pPr>
          </w:p>
        </w:tc>
        <w:tc>
          <w:tcPr>
            <w:tcW w:w="1427" w:type="dxa"/>
          </w:tcPr>
          <w:p w14:paraId="61FC347D" w14:textId="77777777" w:rsidR="001D732A" w:rsidRPr="00AA212A" w:rsidRDefault="001D732A" w:rsidP="00A20CB7">
            <w:pPr>
              <w:jc w:val="center"/>
              <w:rPr>
                <w:rFonts w:cs="Times New Roman"/>
                <w:sz w:val="18"/>
                <w:szCs w:val="18"/>
              </w:rPr>
            </w:pPr>
            <w:r w:rsidRPr="00E177C3">
              <w:rPr>
                <w:rFonts w:cs="Times New Roman"/>
                <w:sz w:val="18"/>
                <w:szCs w:val="18"/>
              </w:rPr>
              <w:t>1,5</w:t>
            </w:r>
          </w:p>
        </w:tc>
        <w:tc>
          <w:tcPr>
            <w:tcW w:w="1612" w:type="dxa"/>
          </w:tcPr>
          <w:p w14:paraId="237682FE" w14:textId="77777777" w:rsidR="001D732A" w:rsidRPr="00AA212A" w:rsidRDefault="001D732A" w:rsidP="00A20CB7">
            <w:pPr>
              <w:jc w:val="center"/>
              <w:rPr>
                <w:rFonts w:cs="Times New Roman"/>
                <w:sz w:val="18"/>
                <w:szCs w:val="18"/>
              </w:rPr>
            </w:pPr>
            <w:r>
              <w:rPr>
                <w:rFonts w:cs="Times New Roman"/>
                <w:sz w:val="18"/>
                <w:szCs w:val="18"/>
              </w:rPr>
              <w:t>65</w:t>
            </w:r>
          </w:p>
        </w:tc>
        <w:tc>
          <w:tcPr>
            <w:tcW w:w="1612" w:type="dxa"/>
          </w:tcPr>
          <w:p w14:paraId="148C0D1D" w14:textId="77777777" w:rsidR="001D732A" w:rsidRPr="00AA212A" w:rsidRDefault="001D732A" w:rsidP="00A20CB7">
            <w:pPr>
              <w:jc w:val="center"/>
              <w:rPr>
                <w:rFonts w:cs="Times New Roman"/>
                <w:sz w:val="18"/>
                <w:szCs w:val="18"/>
              </w:rPr>
            </w:pPr>
            <w:r>
              <w:rPr>
                <w:rFonts w:cs="Times New Roman"/>
                <w:sz w:val="18"/>
                <w:szCs w:val="18"/>
              </w:rPr>
              <w:t>20</w:t>
            </w:r>
          </w:p>
        </w:tc>
      </w:tr>
      <w:tr w:rsidR="001D732A" w:rsidRPr="00AA212A" w14:paraId="72535EBA" w14:textId="77777777" w:rsidTr="00A20CB7">
        <w:tc>
          <w:tcPr>
            <w:tcW w:w="1581" w:type="dxa"/>
          </w:tcPr>
          <w:p w14:paraId="32B85436" w14:textId="77777777" w:rsidR="001D732A" w:rsidRPr="00AA212A" w:rsidRDefault="001D732A" w:rsidP="00A20CB7">
            <w:pPr>
              <w:jc w:val="both"/>
              <w:rPr>
                <w:rFonts w:cs="Times New Roman"/>
                <w:sz w:val="18"/>
                <w:szCs w:val="18"/>
              </w:rPr>
            </w:pPr>
            <w:r>
              <w:rPr>
                <w:rFonts w:cs="Times New Roman"/>
                <w:sz w:val="18"/>
                <w:szCs w:val="18"/>
              </w:rPr>
              <w:t>Kudepadjand 3</w:t>
            </w:r>
          </w:p>
        </w:tc>
        <w:tc>
          <w:tcPr>
            <w:tcW w:w="1593" w:type="dxa"/>
          </w:tcPr>
          <w:p w14:paraId="648369EA" w14:textId="77777777" w:rsidR="001D732A" w:rsidRPr="00EA73AB" w:rsidRDefault="001D732A" w:rsidP="00A20CB7">
            <w:pPr>
              <w:jc w:val="center"/>
              <w:rPr>
                <w:rFonts w:cs="Times New Roman"/>
                <w:sz w:val="18"/>
                <w:szCs w:val="18"/>
              </w:rPr>
            </w:pPr>
            <w:r w:rsidRPr="00EA73AB">
              <w:rPr>
                <w:rFonts w:cs="Times New Roman"/>
                <w:sz w:val="18"/>
                <w:szCs w:val="18"/>
              </w:rPr>
              <w:t>X=6582767.68   Y=627885.88</w:t>
            </w:r>
          </w:p>
        </w:tc>
        <w:tc>
          <w:tcPr>
            <w:tcW w:w="1237" w:type="dxa"/>
          </w:tcPr>
          <w:p w14:paraId="20832F18" w14:textId="77777777" w:rsidR="001D732A" w:rsidRPr="00E177C3" w:rsidRDefault="001D732A" w:rsidP="00A20CB7">
            <w:pPr>
              <w:jc w:val="center"/>
              <w:rPr>
                <w:rFonts w:cs="Times New Roman"/>
                <w:sz w:val="18"/>
                <w:szCs w:val="18"/>
              </w:rPr>
            </w:pPr>
            <w:r>
              <w:rPr>
                <w:rFonts w:cs="Times New Roman"/>
                <w:sz w:val="18"/>
                <w:szCs w:val="18"/>
              </w:rPr>
              <w:t>30</w:t>
            </w:r>
          </w:p>
        </w:tc>
        <w:tc>
          <w:tcPr>
            <w:tcW w:w="1427" w:type="dxa"/>
          </w:tcPr>
          <w:p w14:paraId="63B27393" w14:textId="77777777" w:rsidR="001D732A" w:rsidRPr="00AA212A" w:rsidRDefault="001D732A" w:rsidP="00A20CB7">
            <w:pPr>
              <w:jc w:val="center"/>
              <w:rPr>
                <w:rFonts w:cs="Times New Roman"/>
                <w:sz w:val="18"/>
                <w:szCs w:val="18"/>
              </w:rPr>
            </w:pPr>
            <w:r w:rsidRPr="00E177C3">
              <w:rPr>
                <w:rFonts w:cs="Times New Roman"/>
                <w:sz w:val="18"/>
                <w:szCs w:val="18"/>
              </w:rPr>
              <w:t>1,5</w:t>
            </w:r>
          </w:p>
        </w:tc>
        <w:tc>
          <w:tcPr>
            <w:tcW w:w="1612" w:type="dxa"/>
          </w:tcPr>
          <w:p w14:paraId="5008AFA9" w14:textId="77777777" w:rsidR="001D732A" w:rsidRPr="00AA212A" w:rsidRDefault="001D732A" w:rsidP="00A20CB7">
            <w:pPr>
              <w:jc w:val="center"/>
              <w:rPr>
                <w:rFonts w:cs="Times New Roman"/>
                <w:sz w:val="18"/>
                <w:szCs w:val="18"/>
              </w:rPr>
            </w:pPr>
            <w:r>
              <w:rPr>
                <w:rFonts w:cs="Times New Roman"/>
                <w:sz w:val="18"/>
                <w:szCs w:val="18"/>
              </w:rPr>
              <w:t>15</w:t>
            </w:r>
          </w:p>
        </w:tc>
        <w:tc>
          <w:tcPr>
            <w:tcW w:w="1612" w:type="dxa"/>
          </w:tcPr>
          <w:p w14:paraId="7847B764" w14:textId="77777777" w:rsidR="001D732A" w:rsidRPr="00AA212A" w:rsidRDefault="001D732A" w:rsidP="00A20CB7">
            <w:pPr>
              <w:jc w:val="center"/>
              <w:rPr>
                <w:rFonts w:cs="Times New Roman"/>
                <w:sz w:val="18"/>
                <w:szCs w:val="18"/>
              </w:rPr>
            </w:pPr>
            <w:r>
              <w:rPr>
                <w:rFonts w:cs="Times New Roman"/>
                <w:sz w:val="18"/>
                <w:szCs w:val="18"/>
              </w:rPr>
              <w:t>10</w:t>
            </w:r>
          </w:p>
        </w:tc>
      </w:tr>
    </w:tbl>
    <w:p w14:paraId="0365F8E4" w14:textId="77777777" w:rsidR="001D732A" w:rsidRDefault="001D732A" w:rsidP="001D732A">
      <w:pPr>
        <w:jc w:val="both"/>
        <w:rPr>
          <w:rFonts w:cs="Times New Roman"/>
          <w:b/>
          <w:bCs/>
        </w:rPr>
      </w:pPr>
    </w:p>
    <w:p w14:paraId="739C0218" w14:textId="65C09EB6" w:rsidR="000746BD" w:rsidRPr="00F96A26" w:rsidRDefault="000746BD" w:rsidP="00F96A26">
      <w:pPr>
        <w:pStyle w:val="Loendilik"/>
        <w:numPr>
          <w:ilvl w:val="0"/>
          <w:numId w:val="14"/>
        </w:numPr>
        <w:jc w:val="both"/>
        <w:rPr>
          <w:rFonts w:cs="Times New Roman"/>
          <w:szCs w:val="24"/>
        </w:rPr>
      </w:pPr>
      <w:r w:rsidRPr="00F96A26">
        <w:rPr>
          <w:rFonts w:cs="Times New Roman"/>
          <w:szCs w:val="24"/>
        </w:rPr>
        <w:t xml:space="preserve">Maakivide jõkke paigutamisel tuleb lähtuda põhimõttest, et jõe </w:t>
      </w:r>
      <w:proofErr w:type="spellStart"/>
      <w:r w:rsidRPr="00F96A26">
        <w:rPr>
          <w:rFonts w:cs="Times New Roman"/>
          <w:szCs w:val="24"/>
        </w:rPr>
        <w:t>üldilme</w:t>
      </w:r>
      <w:proofErr w:type="spellEnd"/>
      <w:r w:rsidRPr="00F96A26">
        <w:rPr>
          <w:rFonts w:cs="Times New Roman"/>
          <w:szCs w:val="24"/>
        </w:rPr>
        <w:t xml:space="preserve"> säiliks pärast tööde läbiviimist võimalikult looduslikuna. Maakive kudepadjandile ei paigutata, küll aga võib paigutada neid kudepadjandi ette takistamaks veerise äravoolu. Kivide paigutamine objektil toimub koostöös </w:t>
      </w:r>
      <w:r w:rsidR="0048698D">
        <w:rPr>
          <w:rFonts w:cs="Times New Roman"/>
          <w:szCs w:val="24"/>
        </w:rPr>
        <w:t>RMK veeökoloogiga</w:t>
      </w:r>
      <w:r w:rsidRPr="00F96A26">
        <w:rPr>
          <w:rFonts w:cs="Times New Roman"/>
          <w:szCs w:val="24"/>
        </w:rPr>
        <w:t>.</w:t>
      </w:r>
    </w:p>
    <w:p w14:paraId="1C92CC55" w14:textId="149C3BB4" w:rsidR="000746BD" w:rsidRPr="00F96A26" w:rsidRDefault="002631F5" w:rsidP="00F96A26">
      <w:pPr>
        <w:pStyle w:val="Loendilik"/>
        <w:numPr>
          <w:ilvl w:val="0"/>
          <w:numId w:val="14"/>
        </w:numPr>
        <w:jc w:val="both"/>
        <w:rPr>
          <w:rFonts w:cs="Times New Roman"/>
          <w:szCs w:val="24"/>
        </w:rPr>
      </w:pPr>
      <w:r w:rsidRPr="00F96A26">
        <w:rPr>
          <w:rFonts w:cs="Times New Roman"/>
          <w:szCs w:val="24"/>
        </w:rPr>
        <w:t>Kudepadjandi parendamisel tuleb arvestada vähemalt 20 cm paksuse veerise kihi lisamisega jõesängi. Kudepadjand ei pea tingimata ulatuma jõe ühest servast teise.</w:t>
      </w:r>
    </w:p>
    <w:p w14:paraId="5A69B3BE" w14:textId="5DAB8130" w:rsidR="009F275A" w:rsidRDefault="009F275A" w:rsidP="00F96A26">
      <w:pPr>
        <w:pStyle w:val="Normaallaadveeb"/>
        <w:numPr>
          <w:ilvl w:val="0"/>
          <w:numId w:val="2"/>
        </w:numPr>
        <w:jc w:val="both"/>
        <w:rPr>
          <w:color w:val="000000"/>
        </w:rPr>
      </w:pPr>
      <w:r w:rsidRPr="009F275A">
        <w:rPr>
          <w:color w:val="000000"/>
        </w:rPr>
        <w:lastRenderedPageBreak/>
        <w:t>Projektlahendusega tuleb tagada maaparandusehitiste ja -rajatiste toimimisvõime.</w:t>
      </w:r>
    </w:p>
    <w:p w14:paraId="39C7244F" w14:textId="1607D748" w:rsidR="009E05D0" w:rsidRDefault="009E05D0" w:rsidP="00F96A26">
      <w:pPr>
        <w:pStyle w:val="Normaallaadveeb"/>
        <w:numPr>
          <w:ilvl w:val="0"/>
          <w:numId w:val="2"/>
        </w:numPr>
        <w:jc w:val="both"/>
        <w:rPr>
          <w:color w:val="000000"/>
        </w:rPr>
      </w:pPr>
      <w:r w:rsidRPr="009E05D0">
        <w:rPr>
          <w:color w:val="000000"/>
        </w:rPr>
        <w:t>Mitte projekteerida kudepadjandite paiknemist drenaažikollektorite ja kraavide suubumiskohtadesse.</w:t>
      </w:r>
    </w:p>
    <w:p w14:paraId="7ED89C89" w14:textId="77777777" w:rsidR="00DE138F" w:rsidRDefault="00DE138F" w:rsidP="00DE138F">
      <w:pPr>
        <w:pStyle w:val="Normaallaadveeb"/>
        <w:numPr>
          <w:ilvl w:val="0"/>
          <w:numId w:val="2"/>
        </w:numPr>
        <w:jc w:val="both"/>
        <w:rPr>
          <w:color w:val="000000"/>
        </w:rPr>
      </w:pPr>
      <w:r w:rsidRPr="0032291A">
        <w:rPr>
          <w:color w:val="000000"/>
        </w:rPr>
        <w:t>Projekti asendiplaanile tuleb kanda olemasolevad maaparandussüsteemid ja -andmed ning drenaažisüsteemid</w:t>
      </w:r>
      <w:r>
        <w:rPr>
          <w:color w:val="000000"/>
        </w:rPr>
        <w:t>.</w:t>
      </w:r>
    </w:p>
    <w:p w14:paraId="1DED90A8" w14:textId="443C30F7" w:rsidR="00AC24D3" w:rsidRDefault="00AC24D3" w:rsidP="00F96A26">
      <w:pPr>
        <w:pStyle w:val="Normaallaadveeb"/>
        <w:numPr>
          <w:ilvl w:val="0"/>
          <w:numId w:val="2"/>
        </w:numPr>
        <w:jc w:val="both"/>
        <w:rPr>
          <w:color w:val="000000"/>
        </w:rPr>
      </w:pPr>
      <w:r w:rsidRPr="00AC24D3">
        <w:rPr>
          <w:color w:val="000000"/>
        </w:rPr>
        <w:t>Planeeritud tegevuste maaparandussüsteemisega ristumisel tuleb projektplaanile või tehnilisele tööjoonisele kanda kõik ehitusega seotud maaparandusrajatised.</w:t>
      </w:r>
    </w:p>
    <w:p w14:paraId="6D6BC722" w14:textId="1C27A5CF" w:rsidR="00F96A26" w:rsidRPr="00F96A26" w:rsidRDefault="00476A40" w:rsidP="00F96A26">
      <w:pPr>
        <w:pStyle w:val="Normaallaadveeb"/>
        <w:numPr>
          <w:ilvl w:val="0"/>
          <w:numId w:val="2"/>
        </w:numPr>
        <w:jc w:val="both"/>
        <w:rPr>
          <w:color w:val="000000"/>
        </w:rPr>
      </w:pPr>
      <w:r w:rsidRPr="00F96A26">
        <w:rPr>
          <w:color w:val="000000"/>
        </w:rPr>
        <w:t>Projekti seletuskirjas ja joonistel tuleb kirjeldada kõik ristumised maaparandussüsteemi elementidega. Kui planeeritud töödega võivad saada kahjustatud maaparandussüsteemi elemendid (drenaažikaevud, drenaažisuudmed, dreenid, kraavid, truubid), tuleb näha ette nende taastamine või ümberehitamine. Seletuskirjas peab kajastuma nõue, et kõik</w:t>
      </w:r>
      <w:r w:rsidR="00F96A26" w:rsidRPr="00F96A26">
        <w:rPr>
          <w:color w:val="000000"/>
        </w:rPr>
        <w:t xml:space="preserve"> drenaaži taastamise tööd tuleb kanda tööde akti, teha fotod ning esitada need Põllumajandus- ja Toiduametile (</w:t>
      </w:r>
      <w:r w:rsidR="00245504" w:rsidRPr="00245504">
        <w:rPr>
          <w:color w:val="000000"/>
        </w:rPr>
        <w:t>virump@pta.agri.ee</w:t>
      </w:r>
      <w:r w:rsidR="00F96A26" w:rsidRPr="00F96A26">
        <w:rPr>
          <w:color w:val="000000"/>
        </w:rPr>
        <w:t>).</w:t>
      </w:r>
    </w:p>
    <w:p w14:paraId="5AC35671" w14:textId="33EB79BD" w:rsidR="00F96A26" w:rsidRPr="00E45856" w:rsidRDefault="00F96A26" w:rsidP="00F96A26">
      <w:pPr>
        <w:pStyle w:val="Normaallaadveeb"/>
        <w:numPr>
          <w:ilvl w:val="0"/>
          <w:numId w:val="2"/>
        </w:numPr>
        <w:jc w:val="both"/>
        <w:rPr>
          <w:color w:val="000000"/>
        </w:rPr>
      </w:pPr>
      <w:r w:rsidRPr="00E45856">
        <w:rPr>
          <w:color w:val="000000"/>
        </w:rPr>
        <w:t>Maaparandussüsteemi maa-alal või eesvoolul või eesvoolu kaitsevööndis, kus tehakse kaeve- ja ehitustöid või muul moel eeldatavasti rikutakse maaparandussüsteemi toimimisvõimet, tuleb ehitusprojekti staadiumis leida lahendused maaparandussüsteemide toimimise tagamiseks.</w:t>
      </w:r>
    </w:p>
    <w:p w14:paraId="12D806E5" w14:textId="74649041" w:rsidR="00F96A26" w:rsidRPr="00E45856" w:rsidRDefault="00F96A26" w:rsidP="00F96A26">
      <w:pPr>
        <w:pStyle w:val="Normaallaadveeb"/>
        <w:numPr>
          <w:ilvl w:val="0"/>
          <w:numId w:val="2"/>
        </w:numPr>
        <w:jc w:val="both"/>
        <w:rPr>
          <w:color w:val="000000"/>
        </w:rPr>
      </w:pPr>
      <w:r w:rsidRPr="00E45856">
        <w:rPr>
          <w:color w:val="000000"/>
        </w:rPr>
        <w:t>Projektlahend peab tagama naaberkinnisasjadel paiknevate maaparandussüsteemide toimimise tulenevalt maaparandusseaduse § 47.</w:t>
      </w:r>
    </w:p>
    <w:p w14:paraId="2D46D706" w14:textId="68CFE35E" w:rsidR="00690382" w:rsidRDefault="00690382" w:rsidP="00690382">
      <w:pPr>
        <w:pStyle w:val="Loendilik"/>
        <w:numPr>
          <w:ilvl w:val="0"/>
          <w:numId w:val="2"/>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w:t>
      </w:r>
      <w:r w:rsidR="00940524">
        <w:rPr>
          <w:color w:val="000000" w:themeColor="text1"/>
          <w:szCs w:val="24"/>
        </w:rPr>
        <w:t>õimalikud</w:t>
      </w:r>
      <w:r>
        <w:rPr>
          <w:color w:val="000000" w:themeColor="text1"/>
          <w:szCs w:val="24"/>
        </w:rPr>
        <w:t xml:space="preserve"> ligipääsu asukoh</w:t>
      </w:r>
      <w:r w:rsidR="00940524">
        <w:rPr>
          <w:color w:val="000000" w:themeColor="text1"/>
          <w:szCs w:val="24"/>
        </w:rPr>
        <w:t>ad</w:t>
      </w:r>
      <w:r>
        <w:rPr>
          <w:color w:val="000000" w:themeColor="text1"/>
          <w:szCs w:val="24"/>
        </w:rPr>
        <w:t>.</w:t>
      </w:r>
    </w:p>
    <w:p w14:paraId="11B3C7FD" w14:textId="0A89B501" w:rsidR="00690382" w:rsidRDefault="00690382" w:rsidP="00690382">
      <w:pPr>
        <w:pStyle w:val="Loendilik"/>
        <w:numPr>
          <w:ilvl w:val="0"/>
          <w:numId w:val="2"/>
        </w:numPr>
        <w:spacing w:after="0"/>
        <w:jc w:val="both"/>
        <w:rPr>
          <w:color w:val="000000" w:themeColor="text1"/>
          <w:szCs w:val="24"/>
        </w:rPr>
      </w:pPr>
      <w:r>
        <w:rPr>
          <w:color w:val="000000" w:themeColor="text1"/>
          <w:szCs w:val="24"/>
        </w:rPr>
        <w:t>Projektlahendus peab arvestama materjalide</w:t>
      </w:r>
      <w:r w:rsidR="007D3E26">
        <w:rPr>
          <w:color w:val="000000" w:themeColor="text1"/>
          <w:szCs w:val="24"/>
        </w:rPr>
        <w:t xml:space="preserve"> ajutiste</w:t>
      </w:r>
      <w:r>
        <w:rPr>
          <w:color w:val="000000" w:themeColor="text1"/>
          <w:szCs w:val="24"/>
        </w:rPr>
        <w:t xml:space="preserve"> ladustamiskohtade</w:t>
      </w:r>
      <w:r w:rsidR="007D3E26">
        <w:rPr>
          <w:color w:val="000000" w:themeColor="text1"/>
          <w:szCs w:val="24"/>
        </w:rPr>
        <w:t>ga ja</w:t>
      </w:r>
      <w:r>
        <w:rPr>
          <w:color w:val="000000" w:themeColor="text1"/>
          <w:szCs w:val="24"/>
        </w:rPr>
        <w:t xml:space="preserve"> hiljem kõikide alade korrastamis</w:t>
      </w:r>
      <w:r w:rsidR="007D3E26">
        <w:rPr>
          <w:color w:val="000000" w:themeColor="text1"/>
          <w:szCs w:val="24"/>
        </w:rPr>
        <w:t>ega</w:t>
      </w:r>
      <w:r>
        <w:rPr>
          <w:color w:val="000000" w:themeColor="text1"/>
          <w:szCs w:val="24"/>
        </w:rPr>
        <w:t>.</w:t>
      </w:r>
    </w:p>
    <w:p w14:paraId="60D186E1" w14:textId="5081AA3F" w:rsidR="00476A40" w:rsidRPr="00F96A26" w:rsidRDefault="00F96A26" w:rsidP="00F96A26">
      <w:pPr>
        <w:pStyle w:val="Normaallaadveeb"/>
        <w:numPr>
          <w:ilvl w:val="0"/>
          <w:numId w:val="2"/>
        </w:numPr>
        <w:jc w:val="both"/>
        <w:rPr>
          <w:color w:val="000000"/>
        </w:rPr>
      </w:pPr>
      <w:r w:rsidRPr="00F96A26">
        <w:rPr>
          <w:color w:val="000000"/>
        </w:rPr>
        <w:t>Projektlahendus peab hindama vajadust puittaimestiku eemaldamiseks, et tagada ligipääs jõe kaldale</w:t>
      </w:r>
      <w:r w:rsidR="00C35939">
        <w:rPr>
          <w:color w:val="000000"/>
        </w:rPr>
        <w:t xml:space="preserve"> ja hindama ka </w:t>
      </w:r>
      <w:r w:rsidR="00C35939" w:rsidRPr="00C35939">
        <w:rPr>
          <w:color w:val="000000"/>
        </w:rPr>
        <w:t>raiutava puittaimestiku kogust tihumeetrites</w:t>
      </w:r>
      <w:r w:rsidRPr="00F96A26">
        <w:rPr>
          <w:color w:val="000000"/>
        </w:rPr>
        <w:t>.</w:t>
      </w:r>
    </w:p>
    <w:p w14:paraId="4A5801EC" w14:textId="77777777" w:rsidR="002004E4" w:rsidRDefault="002004E4" w:rsidP="00011E76">
      <w:pPr>
        <w:pStyle w:val="Loendilik"/>
        <w:spacing w:after="0"/>
        <w:jc w:val="both"/>
        <w:rPr>
          <w:color w:val="000000" w:themeColor="text1"/>
          <w:szCs w:val="24"/>
        </w:rPr>
      </w:pPr>
    </w:p>
    <w:p w14:paraId="615A2C5B" w14:textId="77777777" w:rsidR="00011E76" w:rsidRDefault="00011E76" w:rsidP="00011E76">
      <w:pPr>
        <w:pStyle w:val="Loendilik"/>
        <w:spacing w:after="0"/>
        <w:jc w:val="both"/>
        <w:rPr>
          <w:color w:val="000000" w:themeColor="text1"/>
          <w:szCs w:val="24"/>
        </w:rPr>
      </w:pPr>
    </w:p>
    <w:p w14:paraId="58D54E40" w14:textId="77777777" w:rsidR="004E245C" w:rsidRPr="004E245C" w:rsidRDefault="004E245C" w:rsidP="004E245C">
      <w:pPr>
        <w:pStyle w:val="Loendilik"/>
        <w:numPr>
          <w:ilvl w:val="0"/>
          <w:numId w:val="1"/>
        </w:numPr>
        <w:jc w:val="both"/>
        <w:rPr>
          <w:b/>
          <w:bCs/>
          <w:color w:val="000000" w:themeColor="text1"/>
          <w:szCs w:val="24"/>
        </w:rPr>
      </w:pPr>
      <w:r w:rsidRPr="004E245C">
        <w:rPr>
          <w:b/>
          <w:bCs/>
          <w:color w:val="000000" w:themeColor="text1"/>
          <w:szCs w:val="24"/>
        </w:rPr>
        <w:t>NÕUDED EHITUSPROJEKTILE</w:t>
      </w:r>
    </w:p>
    <w:p w14:paraId="4FBFCCC5" w14:textId="2089C36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BA385F">
        <w:rPr>
          <w:color w:val="000000" w:themeColor="text1"/>
          <w:szCs w:val="24"/>
        </w:rPr>
        <w:t xml:space="preserve"> j</w:t>
      </w:r>
      <w:r w:rsidR="00BA385F" w:rsidRPr="00BA385F">
        <w:rPr>
          <w:color w:val="000000" w:themeColor="text1"/>
          <w:szCs w:val="24"/>
        </w:rPr>
        <w:t>a muudele ehitusalastele standarditele</w:t>
      </w:r>
      <w:r w:rsidR="003176F7">
        <w:rPr>
          <w:color w:val="000000" w:themeColor="text1"/>
          <w:szCs w:val="24"/>
        </w:rPr>
        <w:t>.</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53E02EDF" w14:textId="38F49567" w:rsidR="00894D2C"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lastRenderedPageBreak/>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1CE6D005" w14:textId="77777777" w:rsidR="00EC6859" w:rsidRPr="00EC6859" w:rsidRDefault="00EC6859" w:rsidP="00EC6859">
      <w:pPr>
        <w:ind w:left="360"/>
        <w:jc w:val="both"/>
        <w:rPr>
          <w:rFonts w:cs="Times New Roman"/>
          <w:color w:val="000000" w:themeColor="text1"/>
          <w:szCs w:val="24"/>
        </w:rPr>
      </w:pPr>
    </w:p>
    <w:p w14:paraId="52DB29C7" w14:textId="77777777" w:rsidR="00A548EE" w:rsidRPr="00A548EE" w:rsidRDefault="00A548EE" w:rsidP="00A548EE">
      <w:pPr>
        <w:pStyle w:val="Loendilik"/>
        <w:numPr>
          <w:ilvl w:val="0"/>
          <w:numId w:val="1"/>
        </w:numPr>
        <w:jc w:val="both"/>
        <w:rPr>
          <w:b/>
          <w:bCs/>
          <w:color w:val="000000" w:themeColor="text1"/>
          <w:szCs w:val="24"/>
        </w:rPr>
      </w:pPr>
      <w:r w:rsidRPr="00A548EE">
        <w:rPr>
          <w:b/>
          <w:bCs/>
          <w:color w:val="000000" w:themeColor="text1"/>
          <w:szCs w:val="24"/>
        </w:rPr>
        <w:t>MUUD NÕUDED</w:t>
      </w:r>
    </w:p>
    <w:p w14:paraId="0BB1A4F8" w14:textId="77777777" w:rsidR="00894D2C" w:rsidRPr="00DD058C" w:rsidRDefault="00894D2C" w:rsidP="00894D2C">
      <w:pPr>
        <w:jc w:val="both"/>
        <w:rPr>
          <w:color w:val="000000" w:themeColor="text1"/>
          <w:szCs w:val="24"/>
        </w:rPr>
      </w:pPr>
      <w:r w:rsidRPr="00DD058C">
        <w:rPr>
          <w:color w:val="000000" w:themeColor="text1"/>
          <w:szCs w:val="24"/>
        </w:rPr>
        <w:t>Töövõtja on kohustatud korraldama RMK-</w:t>
      </w:r>
      <w:proofErr w:type="spellStart"/>
      <w:r w:rsidRPr="00DD058C">
        <w:rPr>
          <w:color w:val="000000" w:themeColor="text1"/>
          <w:szCs w:val="24"/>
        </w:rPr>
        <w:t>ga</w:t>
      </w:r>
      <w:proofErr w:type="spellEnd"/>
      <w:r w:rsidRPr="00DD058C">
        <w:rPr>
          <w:color w:val="000000" w:themeColor="text1"/>
          <w:szCs w:val="24"/>
        </w:rPr>
        <w:t xml:space="preserve"> minimaalselt neli koosolekut ja arvestama nendega seotud kuludega (sh avalikustamine). RMK võib kohtumistele kaasata seotud osapooli, maaomanikke ja ametkondade esindajaid.</w:t>
      </w:r>
    </w:p>
    <w:p w14:paraId="10973D8B" w14:textId="1174DD50" w:rsidR="008B3684" w:rsidRDefault="00894D2C" w:rsidP="00894D2C">
      <w:pPr>
        <w:jc w:val="both"/>
        <w:rPr>
          <w:rFonts w:cs="Times New Roman"/>
          <w:szCs w:val="24"/>
        </w:rPr>
      </w:pPr>
      <w:r w:rsidRPr="00932FC0">
        <w:rPr>
          <w:b/>
          <w:bCs/>
          <w:color w:val="000000" w:themeColor="text1"/>
          <w:szCs w:val="24"/>
        </w:rPr>
        <w:t>I koosolek:</w:t>
      </w:r>
      <w:r>
        <w:rPr>
          <w:color w:val="000000" w:themeColor="text1"/>
          <w:szCs w:val="24"/>
        </w:rPr>
        <w:t xml:space="preserve"> </w:t>
      </w:r>
      <w:r w:rsidR="008B535B" w:rsidRPr="008B535B">
        <w:rPr>
          <w:color w:val="000000" w:themeColor="text1"/>
          <w:szCs w:val="24"/>
        </w:rPr>
        <w:t>Enne uurimistööde ja projekteerimisega alustamist selgitab RMK tööde olemust, eesmärki ning objektiga seotud asjaolusid, sh maaomanike tingimusi, millega töövõtja peab projekteerimisel arvestama.</w:t>
      </w:r>
    </w:p>
    <w:p w14:paraId="14A9F38F" w14:textId="2881A4AD" w:rsidR="00894D2C" w:rsidRPr="00DD058C" w:rsidRDefault="00894D2C" w:rsidP="00894D2C">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Töövõtja esitab RMK-</w:t>
      </w:r>
      <w:proofErr w:type="spellStart"/>
      <w:r w:rsidRPr="00DD058C">
        <w:rPr>
          <w:color w:val="000000" w:themeColor="text1"/>
          <w:szCs w:val="24"/>
        </w:rPr>
        <w:t>le</w:t>
      </w:r>
      <w:proofErr w:type="spellEnd"/>
      <w:r w:rsidRPr="00DD058C">
        <w:rPr>
          <w:color w:val="000000" w:themeColor="text1"/>
          <w:szCs w:val="24"/>
        </w:rPr>
        <w:t xml:space="preserv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56F1643A" w14:textId="77777777" w:rsidR="00894D2C" w:rsidRDefault="00894D2C" w:rsidP="00894D2C">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RMK-</w:t>
      </w:r>
      <w:proofErr w:type="spellStart"/>
      <w:r w:rsidRPr="00DD058C">
        <w:rPr>
          <w:color w:val="000000" w:themeColor="text1"/>
          <w:szCs w:val="24"/>
        </w:rPr>
        <w:t>le</w:t>
      </w:r>
      <w:proofErr w:type="spellEnd"/>
      <w:r w:rsidRPr="00DD058C">
        <w:rPr>
          <w:color w:val="000000" w:themeColor="text1"/>
          <w:szCs w:val="24"/>
        </w:rPr>
        <w:t xml:space="preserve"> esitatakse ja tutvustatakse </w:t>
      </w:r>
      <w:r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059EF684" w14:textId="0E94BCF8" w:rsidR="00894D2C" w:rsidRPr="00932FC0" w:rsidRDefault="00894D2C" w:rsidP="00894D2C">
      <w:pPr>
        <w:pStyle w:val="Loendilik"/>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w:t>
      </w:r>
      <w:proofErr w:type="spellStart"/>
      <w:r w:rsidRPr="00F7001F">
        <w:rPr>
          <w:rFonts w:cs="Times New Roman"/>
          <w:szCs w:val="24"/>
        </w:rPr>
        <w:t>le</w:t>
      </w:r>
      <w:proofErr w:type="spellEnd"/>
      <w:r w:rsidRPr="00F7001F">
        <w:rPr>
          <w:rFonts w:cs="Times New Roman"/>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sidR="00E742A1">
        <w:rPr>
          <w:rFonts w:cs="Times New Roman"/>
          <w:szCs w:val="24"/>
        </w:rPr>
        <w:t xml:space="preserve"> Projekteerija koostab koosoleku protokolli.</w:t>
      </w:r>
    </w:p>
    <w:p w14:paraId="3E63D994" w14:textId="430F9405" w:rsidR="00894D2C" w:rsidRPr="00DD058C" w:rsidRDefault="00894D2C" w:rsidP="00894D2C">
      <w:pPr>
        <w:jc w:val="both"/>
        <w:rPr>
          <w:color w:val="000000" w:themeColor="text1"/>
          <w:szCs w:val="24"/>
        </w:rPr>
      </w:pPr>
      <w:r w:rsidRPr="000F4001">
        <w:rPr>
          <w:b/>
          <w:bCs/>
          <w:color w:val="000000" w:themeColor="text1"/>
          <w:szCs w:val="24"/>
        </w:rPr>
        <w:t>V avalikustamiskoosolek</w:t>
      </w:r>
      <w:r>
        <w:rPr>
          <w:b/>
          <w:bCs/>
          <w:color w:val="000000" w:themeColor="text1"/>
          <w:szCs w:val="24"/>
        </w:rPr>
        <w:t xml:space="preserve"> (vajadusel)</w:t>
      </w:r>
      <w:r w:rsidRPr="00DD058C">
        <w:rPr>
          <w:color w:val="000000" w:themeColor="text1"/>
          <w:szCs w:val="24"/>
        </w:rPr>
        <w:t>:</w:t>
      </w:r>
      <w:r w:rsidR="004C61B8">
        <w:rPr>
          <w:color w:val="000000" w:themeColor="text1"/>
          <w:szCs w:val="24"/>
        </w:rPr>
        <w:t xml:space="preserve"> </w:t>
      </w:r>
      <w:r w:rsidR="004C61B8" w:rsidRPr="004C61B8">
        <w:rPr>
          <w:color w:val="000000" w:themeColor="text1"/>
          <w:szCs w:val="24"/>
        </w:rPr>
        <w:t>RMK poolt eelnevalt kooskõlastatud ehitusprojekt (koos kooskõlastustega) avalikustatakse projekteerija osalusel. Vajadusel kaasatakse seotud ametkonnad ning korraldatakse mitu kohtumist.</w:t>
      </w:r>
    </w:p>
    <w:p w14:paraId="73291D51" w14:textId="1413653C" w:rsidR="004D27E5" w:rsidRDefault="00B3637F" w:rsidP="00B3637F">
      <w:pPr>
        <w:jc w:val="both"/>
        <w:rPr>
          <w:color w:val="000000" w:themeColor="text1"/>
          <w:szCs w:val="24"/>
        </w:rPr>
      </w:pPr>
      <w:r w:rsidRPr="00B3637F">
        <w:rPr>
          <w:color w:val="000000" w:themeColor="text1"/>
          <w:szCs w:val="24"/>
        </w:rPr>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6ABFEFA4" w14:textId="77777777" w:rsidR="00B3637F" w:rsidRPr="00B3637F" w:rsidRDefault="00B3637F" w:rsidP="00B3637F">
      <w:pPr>
        <w:jc w:val="both"/>
        <w:rPr>
          <w:b/>
          <w:bCs/>
          <w:color w:val="000000" w:themeColor="text1"/>
          <w:szCs w:val="24"/>
        </w:rPr>
      </w:pPr>
    </w:p>
    <w:p w14:paraId="39148CA1" w14:textId="77777777" w:rsidR="001930A1" w:rsidRPr="001930A1" w:rsidRDefault="001930A1" w:rsidP="001930A1">
      <w:pPr>
        <w:pStyle w:val="Loendilik"/>
        <w:numPr>
          <w:ilvl w:val="0"/>
          <w:numId w:val="1"/>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lastRenderedPageBreak/>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07B96FDB" w:rsidR="004D27E5" w:rsidRDefault="004D27E5" w:rsidP="004D27E5">
      <w:pPr>
        <w:pStyle w:val="Loendilik"/>
        <w:numPr>
          <w:ilvl w:val="0"/>
          <w:numId w:val="4"/>
        </w:numPr>
        <w:jc w:val="both"/>
        <w:rPr>
          <w:szCs w:val="24"/>
        </w:rPr>
      </w:pPr>
      <w:r w:rsidRPr="00B75CD9">
        <w:rPr>
          <w:szCs w:val="24"/>
        </w:rPr>
        <w:t xml:space="preserve">Kohalik omavalitsus </w:t>
      </w:r>
      <w:r w:rsidR="000001F2">
        <w:rPr>
          <w:szCs w:val="24"/>
        </w:rPr>
        <w:t>(vajadusel)</w:t>
      </w:r>
      <w:r w:rsidR="000001F2" w:rsidRPr="00B75CD9">
        <w:rPr>
          <w:szCs w:val="24"/>
        </w:rPr>
        <w:t xml:space="preserve"> </w:t>
      </w:r>
      <w:r w:rsidRPr="00B75CD9">
        <w:rPr>
          <w:szCs w:val="24"/>
        </w:rPr>
        <w:t>(</w:t>
      </w:r>
      <w:r w:rsidR="00872B18">
        <w:rPr>
          <w:szCs w:val="24"/>
        </w:rPr>
        <w:t>Rakvere</w:t>
      </w:r>
      <w:r w:rsidRPr="00B75CD9">
        <w:rPr>
          <w:szCs w:val="24"/>
        </w:rP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12A38749" w14:textId="77777777" w:rsidR="004D27E5" w:rsidRPr="00EC1D55" w:rsidRDefault="004D27E5" w:rsidP="004D27E5">
      <w:pPr>
        <w:pStyle w:val="Loendilik"/>
        <w:numPr>
          <w:ilvl w:val="0"/>
          <w:numId w:val="4"/>
        </w:numPr>
        <w:jc w:val="both"/>
        <w:rPr>
          <w:szCs w:val="24"/>
        </w:rPr>
      </w:pPr>
      <w:r>
        <w:rPr>
          <w:szCs w:val="24"/>
        </w:rPr>
        <w:t>Põllumajandus- ja Toiduamet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48F9AF56"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w:t>
      </w:r>
      <w:r w:rsidR="00647A57">
        <w:rPr>
          <w:szCs w:val="24"/>
        </w:rPr>
        <w:t>ad,</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5853F2D0" w14:textId="74EEA9E1" w:rsidR="005D0858" w:rsidRDefault="005D0249" w:rsidP="001930A1">
      <w:pPr>
        <w:rPr>
          <w:szCs w:val="24"/>
        </w:rPr>
      </w:pPr>
      <w:r>
        <w:rPr>
          <w:szCs w:val="24"/>
        </w:rPr>
        <w:t>LISA</w:t>
      </w:r>
      <w:r w:rsidR="005D0858" w:rsidRPr="005D0858">
        <w:rPr>
          <w:szCs w:val="24"/>
        </w:rPr>
        <w:t xml:space="preserve"> 3-1 Laanemõisa oja parendatava lõigu asendiplaan</w:t>
      </w:r>
    </w:p>
    <w:p w14:paraId="4A266632" w14:textId="6654B05D" w:rsidR="001930A1" w:rsidRPr="007D6DC5" w:rsidRDefault="001930A1" w:rsidP="001930A1">
      <w:pPr>
        <w:rPr>
          <w:szCs w:val="24"/>
        </w:rPr>
      </w:pPr>
      <w:r w:rsidRPr="007D6DC5">
        <w:rPr>
          <w:szCs w:val="24"/>
        </w:rPr>
        <w:t xml:space="preserve">LISA </w:t>
      </w:r>
      <w:r w:rsidR="00EC0F06">
        <w:rPr>
          <w:szCs w:val="24"/>
        </w:rPr>
        <w:t>3</w:t>
      </w:r>
      <w:r w:rsidR="00C95184">
        <w:rPr>
          <w:szCs w:val="24"/>
        </w:rPr>
        <w:t>-</w:t>
      </w:r>
      <w:r w:rsidRPr="007D6DC5">
        <w:rPr>
          <w:szCs w:val="24"/>
        </w:rPr>
        <w:t xml:space="preserve">2: </w:t>
      </w:r>
      <w:r w:rsidR="00A41286" w:rsidRPr="00A41286">
        <w:rPr>
          <w:szCs w:val="24"/>
        </w:rPr>
        <w:t xml:space="preserve">Tööde kavatsus </w:t>
      </w:r>
      <w:r w:rsidR="00EC0F06">
        <w:rPr>
          <w:szCs w:val="24"/>
        </w:rPr>
        <w:t>Laanemõisa oja</w:t>
      </w:r>
      <w:r w:rsidR="00A41286" w:rsidRPr="00A41286">
        <w:rPr>
          <w:szCs w:val="24"/>
        </w:rPr>
        <w:t xml:space="preserve"> koelmud</w:t>
      </w:r>
    </w:p>
    <w:p w14:paraId="3E2B7716" w14:textId="6D2D4A18" w:rsidR="001930A1" w:rsidRDefault="001930A1" w:rsidP="001930A1">
      <w:pPr>
        <w:rPr>
          <w:szCs w:val="24"/>
        </w:rPr>
      </w:pPr>
      <w:r w:rsidRPr="007D6DC5">
        <w:rPr>
          <w:szCs w:val="24"/>
        </w:rPr>
        <w:t xml:space="preserve">LISA </w:t>
      </w:r>
      <w:r w:rsidR="00C95184">
        <w:rPr>
          <w:szCs w:val="24"/>
        </w:rPr>
        <w:t>1-</w:t>
      </w:r>
      <w:r w:rsidRPr="007D6DC5">
        <w:rPr>
          <w:szCs w:val="24"/>
        </w:rPr>
        <w:t xml:space="preserve">3: </w:t>
      </w:r>
      <w:r w:rsidR="00AA0802" w:rsidRPr="00AA0802">
        <w:rPr>
          <w:szCs w:val="24"/>
        </w:rPr>
        <w:t xml:space="preserve">Keskkonnaameti seisukoht Laanemõisa oja, Kullaaru kraavi ja Loo jõe kudealade </w:t>
      </w:r>
      <w:r w:rsidR="00FD718A">
        <w:rPr>
          <w:szCs w:val="24"/>
        </w:rPr>
        <w:t>parendamise</w:t>
      </w:r>
      <w:r w:rsidR="00AA0802" w:rsidRPr="00AA0802">
        <w:rPr>
          <w:szCs w:val="24"/>
        </w:rPr>
        <w:t xml:space="preserve"> kohta</w:t>
      </w:r>
    </w:p>
    <w:p w14:paraId="5F4C5719" w14:textId="6795138B" w:rsidR="004B3986" w:rsidRDefault="009960E9" w:rsidP="004B3986">
      <w:pPr>
        <w:rPr>
          <w:szCs w:val="24"/>
        </w:rPr>
      </w:pPr>
      <w:r>
        <w:rPr>
          <w:szCs w:val="24"/>
        </w:rPr>
        <w:t xml:space="preserve">LISA 1-4: Põllumajandus- ja Toiduameti </w:t>
      </w:r>
      <w:r w:rsidR="004B3986" w:rsidRPr="004B3986">
        <w:rPr>
          <w:szCs w:val="24"/>
        </w:rPr>
        <w:t xml:space="preserve">tehnilised tingimused </w:t>
      </w:r>
      <w:r w:rsidR="005D03AE" w:rsidRPr="005D03AE">
        <w:rPr>
          <w:szCs w:val="24"/>
        </w:rPr>
        <w:t xml:space="preserve">Loo, Laanemõisa, </w:t>
      </w:r>
      <w:proofErr w:type="spellStart"/>
      <w:r w:rsidR="005D03AE" w:rsidRPr="005D03AE">
        <w:rPr>
          <w:szCs w:val="24"/>
        </w:rPr>
        <w:t>Purtsi</w:t>
      </w:r>
      <w:proofErr w:type="spellEnd"/>
      <w:r w:rsidR="005D03AE" w:rsidRPr="005D03AE">
        <w:rPr>
          <w:szCs w:val="24"/>
        </w:rPr>
        <w:t>, Kul</w:t>
      </w:r>
      <w:r w:rsidR="005D03AE">
        <w:rPr>
          <w:szCs w:val="24"/>
        </w:rPr>
        <w:t>l</w:t>
      </w:r>
      <w:r w:rsidR="005D03AE" w:rsidRPr="005D03AE">
        <w:rPr>
          <w:szCs w:val="24"/>
        </w:rPr>
        <w:t xml:space="preserve">aaru </w:t>
      </w:r>
      <w:r w:rsidR="004B3986" w:rsidRPr="004B3986">
        <w:rPr>
          <w:szCs w:val="24"/>
        </w:rPr>
        <w:t>kudealade</w:t>
      </w:r>
      <w:r w:rsidR="00D935EF">
        <w:rPr>
          <w:szCs w:val="24"/>
        </w:rPr>
        <w:t>le</w:t>
      </w:r>
    </w:p>
    <w:p w14:paraId="06B8705B" w14:textId="77777777" w:rsidR="00D935EF" w:rsidRDefault="00D935EF" w:rsidP="004B3986">
      <w:pPr>
        <w:rPr>
          <w:szCs w:val="24"/>
        </w:rPr>
      </w:pPr>
    </w:p>
    <w:p w14:paraId="4B49102E" w14:textId="294A8334" w:rsidR="00926B2C" w:rsidRDefault="00926B2C"/>
    <w:sectPr w:rsidR="00926B2C" w:rsidSect="00894D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D4871" w14:textId="77777777" w:rsidR="002B23B3" w:rsidRDefault="002B23B3" w:rsidP="00E57F07">
      <w:pPr>
        <w:spacing w:after="0" w:line="240" w:lineRule="auto"/>
      </w:pPr>
      <w:r>
        <w:separator/>
      </w:r>
    </w:p>
  </w:endnote>
  <w:endnote w:type="continuationSeparator" w:id="0">
    <w:p w14:paraId="5032FA03" w14:textId="77777777" w:rsidR="002B23B3" w:rsidRDefault="002B23B3" w:rsidP="00E57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End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84208" w14:textId="77777777" w:rsidR="002B23B3" w:rsidRDefault="002B23B3" w:rsidP="00E57F07">
      <w:pPr>
        <w:spacing w:after="0" w:line="240" w:lineRule="auto"/>
      </w:pPr>
      <w:r>
        <w:separator/>
      </w:r>
    </w:p>
  </w:footnote>
  <w:footnote w:type="continuationSeparator" w:id="0">
    <w:p w14:paraId="35F91441" w14:textId="77777777" w:rsidR="002B23B3" w:rsidRDefault="002B23B3" w:rsidP="00E57F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A0850F9"/>
    <w:multiLevelType w:val="hybridMultilevel"/>
    <w:tmpl w:val="462EE0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383F0052"/>
    <w:multiLevelType w:val="hybridMultilevel"/>
    <w:tmpl w:val="DEECC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943631A"/>
    <w:multiLevelType w:val="hybridMultilevel"/>
    <w:tmpl w:val="44A84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4B73696"/>
    <w:multiLevelType w:val="hybridMultilevel"/>
    <w:tmpl w:val="9A008B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210A1D"/>
    <w:multiLevelType w:val="hybridMultilevel"/>
    <w:tmpl w:val="61D494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FEB495B"/>
    <w:multiLevelType w:val="multilevel"/>
    <w:tmpl w:val="CDEA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5715929">
    <w:abstractNumId w:val="4"/>
  </w:num>
  <w:num w:numId="2" w16cid:durableId="1885436694">
    <w:abstractNumId w:val="12"/>
  </w:num>
  <w:num w:numId="3" w16cid:durableId="50156842">
    <w:abstractNumId w:val="0"/>
  </w:num>
  <w:num w:numId="4" w16cid:durableId="471212596">
    <w:abstractNumId w:val="15"/>
  </w:num>
  <w:num w:numId="5" w16cid:durableId="141629349">
    <w:abstractNumId w:val="14"/>
  </w:num>
  <w:num w:numId="6" w16cid:durableId="1597054278">
    <w:abstractNumId w:val="8"/>
  </w:num>
  <w:num w:numId="7" w16cid:durableId="236945178">
    <w:abstractNumId w:val="13"/>
  </w:num>
  <w:num w:numId="8" w16cid:durableId="1593120759">
    <w:abstractNumId w:val="5"/>
  </w:num>
  <w:num w:numId="9" w16cid:durableId="1903171332">
    <w:abstractNumId w:val="6"/>
  </w:num>
  <w:num w:numId="10" w16cid:durableId="368842357">
    <w:abstractNumId w:val="10"/>
  </w:num>
  <w:num w:numId="11" w16cid:durableId="533807539">
    <w:abstractNumId w:val="7"/>
  </w:num>
  <w:num w:numId="12" w16cid:durableId="1401174052">
    <w:abstractNumId w:val="3"/>
  </w:num>
  <w:num w:numId="13" w16cid:durableId="618219105">
    <w:abstractNumId w:val="16"/>
  </w:num>
  <w:num w:numId="14" w16cid:durableId="1329675648">
    <w:abstractNumId w:val="1"/>
  </w:num>
  <w:num w:numId="15" w16cid:durableId="450823499">
    <w:abstractNumId w:val="9"/>
  </w:num>
  <w:num w:numId="16" w16cid:durableId="329404409">
    <w:abstractNumId w:val="11"/>
  </w:num>
  <w:num w:numId="17" w16cid:durableId="761071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001F2"/>
    <w:rsid w:val="00004287"/>
    <w:rsid w:val="00004C54"/>
    <w:rsid w:val="00011E76"/>
    <w:rsid w:val="00021B99"/>
    <w:rsid w:val="00022CAB"/>
    <w:rsid w:val="00026EA4"/>
    <w:rsid w:val="0003261A"/>
    <w:rsid w:val="0003597F"/>
    <w:rsid w:val="0004188D"/>
    <w:rsid w:val="00045F7E"/>
    <w:rsid w:val="00050A26"/>
    <w:rsid w:val="00054883"/>
    <w:rsid w:val="00064A3A"/>
    <w:rsid w:val="00070B7A"/>
    <w:rsid w:val="000740D2"/>
    <w:rsid w:val="000746BD"/>
    <w:rsid w:val="000764FC"/>
    <w:rsid w:val="0007687B"/>
    <w:rsid w:val="000804CA"/>
    <w:rsid w:val="0008235C"/>
    <w:rsid w:val="00090270"/>
    <w:rsid w:val="000912FE"/>
    <w:rsid w:val="00091F13"/>
    <w:rsid w:val="000B1904"/>
    <w:rsid w:val="000B7702"/>
    <w:rsid w:val="000C00EE"/>
    <w:rsid w:val="000C194D"/>
    <w:rsid w:val="000C21AB"/>
    <w:rsid w:val="000C72FB"/>
    <w:rsid w:val="000D08C2"/>
    <w:rsid w:val="000D3855"/>
    <w:rsid w:val="000E1766"/>
    <w:rsid w:val="000E40A5"/>
    <w:rsid w:val="000F0F85"/>
    <w:rsid w:val="000F4E94"/>
    <w:rsid w:val="0010612F"/>
    <w:rsid w:val="001061FD"/>
    <w:rsid w:val="00110932"/>
    <w:rsid w:val="00117FD0"/>
    <w:rsid w:val="001218DF"/>
    <w:rsid w:val="00127EC4"/>
    <w:rsid w:val="001315D1"/>
    <w:rsid w:val="001353BC"/>
    <w:rsid w:val="00135C56"/>
    <w:rsid w:val="0013685D"/>
    <w:rsid w:val="00142B9B"/>
    <w:rsid w:val="00160B61"/>
    <w:rsid w:val="00162432"/>
    <w:rsid w:val="001645B4"/>
    <w:rsid w:val="00170200"/>
    <w:rsid w:val="00170F5B"/>
    <w:rsid w:val="00174846"/>
    <w:rsid w:val="00192C6D"/>
    <w:rsid w:val="001930A1"/>
    <w:rsid w:val="00193993"/>
    <w:rsid w:val="001943E4"/>
    <w:rsid w:val="001A2404"/>
    <w:rsid w:val="001A5609"/>
    <w:rsid w:val="001B2AEB"/>
    <w:rsid w:val="001B54BA"/>
    <w:rsid w:val="001C133A"/>
    <w:rsid w:val="001C3A29"/>
    <w:rsid w:val="001C5808"/>
    <w:rsid w:val="001D27BD"/>
    <w:rsid w:val="001D5DFC"/>
    <w:rsid w:val="001D732A"/>
    <w:rsid w:val="001E0CE0"/>
    <w:rsid w:val="001E6815"/>
    <w:rsid w:val="001F2FA3"/>
    <w:rsid w:val="001F707D"/>
    <w:rsid w:val="002004E4"/>
    <w:rsid w:val="002027FA"/>
    <w:rsid w:val="00215340"/>
    <w:rsid w:val="00215626"/>
    <w:rsid w:val="00216C9B"/>
    <w:rsid w:val="00217FBF"/>
    <w:rsid w:val="002241C6"/>
    <w:rsid w:val="002336A0"/>
    <w:rsid w:val="002360A9"/>
    <w:rsid w:val="00242721"/>
    <w:rsid w:val="00244351"/>
    <w:rsid w:val="00244DA1"/>
    <w:rsid w:val="00245504"/>
    <w:rsid w:val="00251182"/>
    <w:rsid w:val="00252C45"/>
    <w:rsid w:val="002631F5"/>
    <w:rsid w:val="002655DE"/>
    <w:rsid w:val="0027251D"/>
    <w:rsid w:val="00285466"/>
    <w:rsid w:val="00285DF0"/>
    <w:rsid w:val="00287A4D"/>
    <w:rsid w:val="002A6A38"/>
    <w:rsid w:val="002B23B3"/>
    <w:rsid w:val="002C0638"/>
    <w:rsid w:val="002D06D1"/>
    <w:rsid w:val="002D2AFA"/>
    <w:rsid w:val="002E2A11"/>
    <w:rsid w:val="002F1562"/>
    <w:rsid w:val="00301FED"/>
    <w:rsid w:val="00305FF1"/>
    <w:rsid w:val="0030611C"/>
    <w:rsid w:val="0031276F"/>
    <w:rsid w:val="003149EA"/>
    <w:rsid w:val="0031593F"/>
    <w:rsid w:val="003176F7"/>
    <w:rsid w:val="0032366A"/>
    <w:rsid w:val="003329CD"/>
    <w:rsid w:val="003425DB"/>
    <w:rsid w:val="00343201"/>
    <w:rsid w:val="00344178"/>
    <w:rsid w:val="003501CC"/>
    <w:rsid w:val="0035040A"/>
    <w:rsid w:val="00350FD9"/>
    <w:rsid w:val="00353D75"/>
    <w:rsid w:val="00357494"/>
    <w:rsid w:val="00366F1C"/>
    <w:rsid w:val="00370B7E"/>
    <w:rsid w:val="00376D66"/>
    <w:rsid w:val="00386357"/>
    <w:rsid w:val="00387F7A"/>
    <w:rsid w:val="003909B4"/>
    <w:rsid w:val="0039477A"/>
    <w:rsid w:val="003A4F4A"/>
    <w:rsid w:val="003C3C6A"/>
    <w:rsid w:val="003C41FF"/>
    <w:rsid w:val="003D14F8"/>
    <w:rsid w:val="003D3F7A"/>
    <w:rsid w:val="003E59F7"/>
    <w:rsid w:val="003F15FB"/>
    <w:rsid w:val="003F3837"/>
    <w:rsid w:val="003F6320"/>
    <w:rsid w:val="003F7BCA"/>
    <w:rsid w:val="00402606"/>
    <w:rsid w:val="0040349D"/>
    <w:rsid w:val="0040420A"/>
    <w:rsid w:val="00412473"/>
    <w:rsid w:val="00417B13"/>
    <w:rsid w:val="00421E69"/>
    <w:rsid w:val="00425728"/>
    <w:rsid w:val="0044081E"/>
    <w:rsid w:val="00442D9B"/>
    <w:rsid w:val="00451B1C"/>
    <w:rsid w:val="00453FA3"/>
    <w:rsid w:val="00465E21"/>
    <w:rsid w:val="00466D44"/>
    <w:rsid w:val="00472AC2"/>
    <w:rsid w:val="004768EB"/>
    <w:rsid w:val="00476A40"/>
    <w:rsid w:val="00480439"/>
    <w:rsid w:val="004829BE"/>
    <w:rsid w:val="0048698D"/>
    <w:rsid w:val="00492E05"/>
    <w:rsid w:val="0049731D"/>
    <w:rsid w:val="004A3A2D"/>
    <w:rsid w:val="004B13B4"/>
    <w:rsid w:val="004B252D"/>
    <w:rsid w:val="004B3986"/>
    <w:rsid w:val="004C08A7"/>
    <w:rsid w:val="004C6007"/>
    <w:rsid w:val="004C61B8"/>
    <w:rsid w:val="004D27E5"/>
    <w:rsid w:val="004D6D14"/>
    <w:rsid w:val="004D7AD1"/>
    <w:rsid w:val="004D7E2F"/>
    <w:rsid w:val="004E0D64"/>
    <w:rsid w:val="004E245C"/>
    <w:rsid w:val="004E2F95"/>
    <w:rsid w:val="004E706A"/>
    <w:rsid w:val="004F005A"/>
    <w:rsid w:val="004F02EE"/>
    <w:rsid w:val="004F1293"/>
    <w:rsid w:val="004F2DBA"/>
    <w:rsid w:val="004F3A3E"/>
    <w:rsid w:val="004F7BCD"/>
    <w:rsid w:val="00503B0C"/>
    <w:rsid w:val="00504B71"/>
    <w:rsid w:val="00506A49"/>
    <w:rsid w:val="00516C42"/>
    <w:rsid w:val="00520C1E"/>
    <w:rsid w:val="00521545"/>
    <w:rsid w:val="0052301C"/>
    <w:rsid w:val="00525F1C"/>
    <w:rsid w:val="0054299B"/>
    <w:rsid w:val="00544AD0"/>
    <w:rsid w:val="005456B9"/>
    <w:rsid w:val="005472E8"/>
    <w:rsid w:val="00566520"/>
    <w:rsid w:val="0057316F"/>
    <w:rsid w:val="00574D77"/>
    <w:rsid w:val="00582901"/>
    <w:rsid w:val="00590CD7"/>
    <w:rsid w:val="0059279C"/>
    <w:rsid w:val="00592D34"/>
    <w:rsid w:val="0059410B"/>
    <w:rsid w:val="005955DE"/>
    <w:rsid w:val="005A4C0E"/>
    <w:rsid w:val="005B0A75"/>
    <w:rsid w:val="005B65A0"/>
    <w:rsid w:val="005C0B35"/>
    <w:rsid w:val="005C1596"/>
    <w:rsid w:val="005C1B6A"/>
    <w:rsid w:val="005C70A3"/>
    <w:rsid w:val="005D0249"/>
    <w:rsid w:val="005D02C5"/>
    <w:rsid w:val="005D03AE"/>
    <w:rsid w:val="005D0858"/>
    <w:rsid w:val="005D42CC"/>
    <w:rsid w:val="005D45B2"/>
    <w:rsid w:val="005E306B"/>
    <w:rsid w:val="005E59E8"/>
    <w:rsid w:val="005E6363"/>
    <w:rsid w:val="005E6F03"/>
    <w:rsid w:val="005F5D25"/>
    <w:rsid w:val="005F7265"/>
    <w:rsid w:val="00606B0C"/>
    <w:rsid w:val="00614E20"/>
    <w:rsid w:val="00617BA3"/>
    <w:rsid w:val="00620423"/>
    <w:rsid w:val="00621035"/>
    <w:rsid w:val="006226BD"/>
    <w:rsid w:val="00626A52"/>
    <w:rsid w:val="0063747E"/>
    <w:rsid w:val="00640866"/>
    <w:rsid w:val="00640D8C"/>
    <w:rsid w:val="00643A90"/>
    <w:rsid w:val="00647A57"/>
    <w:rsid w:val="0065554C"/>
    <w:rsid w:val="00656F49"/>
    <w:rsid w:val="00663E2C"/>
    <w:rsid w:val="006646FC"/>
    <w:rsid w:val="00676B64"/>
    <w:rsid w:val="00676E20"/>
    <w:rsid w:val="006821FA"/>
    <w:rsid w:val="006857EE"/>
    <w:rsid w:val="00685885"/>
    <w:rsid w:val="00690382"/>
    <w:rsid w:val="006A0A4E"/>
    <w:rsid w:val="006A3FC3"/>
    <w:rsid w:val="006A5581"/>
    <w:rsid w:val="006A59B8"/>
    <w:rsid w:val="006B2140"/>
    <w:rsid w:val="006B7B25"/>
    <w:rsid w:val="006D2947"/>
    <w:rsid w:val="006D659F"/>
    <w:rsid w:val="006E74E5"/>
    <w:rsid w:val="006F72CA"/>
    <w:rsid w:val="007012C3"/>
    <w:rsid w:val="007125FD"/>
    <w:rsid w:val="00712734"/>
    <w:rsid w:val="00724A0E"/>
    <w:rsid w:val="007353F9"/>
    <w:rsid w:val="0074641E"/>
    <w:rsid w:val="007517CC"/>
    <w:rsid w:val="00752E98"/>
    <w:rsid w:val="007533F5"/>
    <w:rsid w:val="0075711C"/>
    <w:rsid w:val="00765452"/>
    <w:rsid w:val="00767147"/>
    <w:rsid w:val="00772E64"/>
    <w:rsid w:val="0077769B"/>
    <w:rsid w:val="007826C0"/>
    <w:rsid w:val="00783AAF"/>
    <w:rsid w:val="0079023A"/>
    <w:rsid w:val="007902EE"/>
    <w:rsid w:val="007966D5"/>
    <w:rsid w:val="007A06EC"/>
    <w:rsid w:val="007A448C"/>
    <w:rsid w:val="007B091E"/>
    <w:rsid w:val="007B282E"/>
    <w:rsid w:val="007B41FE"/>
    <w:rsid w:val="007B59B2"/>
    <w:rsid w:val="007C3596"/>
    <w:rsid w:val="007C461C"/>
    <w:rsid w:val="007C5C9A"/>
    <w:rsid w:val="007C68CF"/>
    <w:rsid w:val="007D16B8"/>
    <w:rsid w:val="007D20A1"/>
    <w:rsid w:val="007D3E26"/>
    <w:rsid w:val="007D5380"/>
    <w:rsid w:val="007D58F2"/>
    <w:rsid w:val="007D6DC5"/>
    <w:rsid w:val="007E67EC"/>
    <w:rsid w:val="007F0088"/>
    <w:rsid w:val="007F3715"/>
    <w:rsid w:val="0080293D"/>
    <w:rsid w:val="00814648"/>
    <w:rsid w:val="008167AF"/>
    <w:rsid w:val="008174D8"/>
    <w:rsid w:val="0082518F"/>
    <w:rsid w:val="00834C60"/>
    <w:rsid w:val="00834E60"/>
    <w:rsid w:val="00834F70"/>
    <w:rsid w:val="00836FA5"/>
    <w:rsid w:val="008429D2"/>
    <w:rsid w:val="008435CF"/>
    <w:rsid w:val="008451B3"/>
    <w:rsid w:val="00860D1E"/>
    <w:rsid w:val="00861509"/>
    <w:rsid w:val="0086268A"/>
    <w:rsid w:val="00871F80"/>
    <w:rsid w:val="0087213A"/>
    <w:rsid w:val="00872B18"/>
    <w:rsid w:val="008732A8"/>
    <w:rsid w:val="00875391"/>
    <w:rsid w:val="008769F6"/>
    <w:rsid w:val="0088368A"/>
    <w:rsid w:val="00884D44"/>
    <w:rsid w:val="00887456"/>
    <w:rsid w:val="00892227"/>
    <w:rsid w:val="00892229"/>
    <w:rsid w:val="00894D2C"/>
    <w:rsid w:val="008A441A"/>
    <w:rsid w:val="008B3684"/>
    <w:rsid w:val="008B535B"/>
    <w:rsid w:val="008B68FE"/>
    <w:rsid w:val="008B6946"/>
    <w:rsid w:val="008C0984"/>
    <w:rsid w:val="008C448A"/>
    <w:rsid w:val="008D2AF1"/>
    <w:rsid w:val="008D61D6"/>
    <w:rsid w:val="008D73AA"/>
    <w:rsid w:val="008E69DB"/>
    <w:rsid w:val="008F333B"/>
    <w:rsid w:val="008F5DCF"/>
    <w:rsid w:val="008F7D38"/>
    <w:rsid w:val="009000C0"/>
    <w:rsid w:val="00904F79"/>
    <w:rsid w:val="009056D8"/>
    <w:rsid w:val="00911005"/>
    <w:rsid w:val="009142D7"/>
    <w:rsid w:val="00914DA6"/>
    <w:rsid w:val="0091615F"/>
    <w:rsid w:val="0092085E"/>
    <w:rsid w:val="00924B98"/>
    <w:rsid w:val="00926B2C"/>
    <w:rsid w:val="0092730E"/>
    <w:rsid w:val="009305CE"/>
    <w:rsid w:val="00940524"/>
    <w:rsid w:val="009449BB"/>
    <w:rsid w:val="00956496"/>
    <w:rsid w:val="00960ED1"/>
    <w:rsid w:val="00963764"/>
    <w:rsid w:val="00963E49"/>
    <w:rsid w:val="0097046B"/>
    <w:rsid w:val="00972712"/>
    <w:rsid w:val="009806E5"/>
    <w:rsid w:val="009824A9"/>
    <w:rsid w:val="00994039"/>
    <w:rsid w:val="00994BF4"/>
    <w:rsid w:val="009960E9"/>
    <w:rsid w:val="009969D5"/>
    <w:rsid w:val="009A4AAD"/>
    <w:rsid w:val="009B1FF8"/>
    <w:rsid w:val="009B5192"/>
    <w:rsid w:val="009B732E"/>
    <w:rsid w:val="009C1794"/>
    <w:rsid w:val="009C59F8"/>
    <w:rsid w:val="009D01C9"/>
    <w:rsid w:val="009D72A7"/>
    <w:rsid w:val="009E05D0"/>
    <w:rsid w:val="009E1A10"/>
    <w:rsid w:val="009E1D69"/>
    <w:rsid w:val="009E65DC"/>
    <w:rsid w:val="009F275A"/>
    <w:rsid w:val="00A10D86"/>
    <w:rsid w:val="00A32E0E"/>
    <w:rsid w:val="00A35E2E"/>
    <w:rsid w:val="00A36CCD"/>
    <w:rsid w:val="00A36F5B"/>
    <w:rsid w:val="00A41286"/>
    <w:rsid w:val="00A44487"/>
    <w:rsid w:val="00A47462"/>
    <w:rsid w:val="00A52ACB"/>
    <w:rsid w:val="00A548EE"/>
    <w:rsid w:val="00A56604"/>
    <w:rsid w:val="00A656FC"/>
    <w:rsid w:val="00A82D9E"/>
    <w:rsid w:val="00A832D6"/>
    <w:rsid w:val="00A90C08"/>
    <w:rsid w:val="00A92869"/>
    <w:rsid w:val="00AA0802"/>
    <w:rsid w:val="00AA45C3"/>
    <w:rsid w:val="00AC24D3"/>
    <w:rsid w:val="00AC7711"/>
    <w:rsid w:val="00AD129B"/>
    <w:rsid w:val="00AD2313"/>
    <w:rsid w:val="00AD2CE9"/>
    <w:rsid w:val="00AD56C2"/>
    <w:rsid w:val="00AD5B29"/>
    <w:rsid w:val="00AE22EB"/>
    <w:rsid w:val="00AE712C"/>
    <w:rsid w:val="00AE794B"/>
    <w:rsid w:val="00AF4067"/>
    <w:rsid w:val="00B022C0"/>
    <w:rsid w:val="00B120F4"/>
    <w:rsid w:val="00B12556"/>
    <w:rsid w:val="00B15592"/>
    <w:rsid w:val="00B15C36"/>
    <w:rsid w:val="00B243BC"/>
    <w:rsid w:val="00B27B50"/>
    <w:rsid w:val="00B30D18"/>
    <w:rsid w:val="00B3467D"/>
    <w:rsid w:val="00B3637F"/>
    <w:rsid w:val="00B41FD0"/>
    <w:rsid w:val="00B51200"/>
    <w:rsid w:val="00B51837"/>
    <w:rsid w:val="00B61CDB"/>
    <w:rsid w:val="00B62426"/>
    <w:rsid w:val="00B6325A"/>
    <w:rsid w:val="00B63B0B"/>
    <w:rsid w:val="00B72E13"/>
    <w:rsid w:val="00B73EB8"/>
    <w:rsid w:val="00B75066"/>
    <w:rsid w:val="00B75218"/>
    <w:rsid w:val="00B76500"/>
    <w:rsid w:val="00B8484B"/>
    <w:rsid w:val="00B91437"/>
    <w:rsid w:val="00B931CC"/>
    <w:rsid w:val="00BA385F"/>
    <w:rsid w:val="00BA7316"/>
    <w:rsid w:val="00BB2D2E"/>
    <w:rsid w:val="00BC31B8"/>
    <w:rsid w:val="00BC4723"/>
    <w:rsid w:val="00BD03B0"/>
    <w:rsid w:val="00BD1F75"/>
    <w:rsid w:val="00BD25AC"/>
    <w:rsid w:val="00BD673D"/>
    <w:rsid w:val="00BE1FC0"/>
    <w:rsid w:val="00BE2AE1"/>
    <w:rsid w:val="00BE3FF2"/>
    <w:rsid w:val="00BE64C9"/>
    <w:rsid w:val="00BF73DF"/>
    <w:rsid w:val="00C02FC3"/>
    <w:rsid w:val="00C056C4"/>
    <w:rsid w:val="00C05E39"/>
    <w:rsid w:val="00C1225B"/>
    <w:rsid w:val="00C15804"/>
    <w:rsid w:val="00C16871"/>
    <w:rsid w:val="00C205EE"/>
    <w:rsid w:val="00C2577A"/>
    <w:rsid w:val="00C30516"/>
    <w:rsid w:val="00C31AFA"/>
    <w:rsid w:val="00C35939"/>
    <w:rsid w:val="00C369B8"/>
    <w:rsid w:val="00C50535"/>
    <w:rsid w:val="00C54741"/>
    <w:rsid w:val="00C62433"/>
    <w:rsid w:val="00C63303"/>
    <w:rsid w:val="00C745B4"/>
    <w:rsid w:val="00C801BC"/>
    <w:rsid w:val="00C85400"/>
    <w:rsid w:val="00C87987"/>
    <w:rsid w:val="00C94485"/>
    <w:rsid w:val="00C95184"/>
    <w:rsid w:val="00CA623A"/>
    <w:rsid w:val="00CA719D"/>
    <w:rsid w:val="00CB467F"/>
    <w:rsid w:val="00CD162A"/>
    <w:rsid w:val="00CD2178"/>
    <w:rsid w:val="00CD2472"/>
    <w:rsid w:val="00CD3359"/>
    <w:rsid w:val="00CD5F37"/>
    <w:rsid w:val="00CD6BCF"/>
    <w:rsid w:val="00CD6E83"/>
    <w:rsid w:val="00CE71E1"/>
    <w:rsid w:val="00CF0123"/>
    <w:rsid w:val="00CF4DD6"/>
    <w:rsid w:val="00CF70D7"/>
    <w:rsid w:val="00CF7DE4"/>
    <w:rsid w:val="00D0403C"/>
    <w:rsid w:val="00D04915"/>
    <w:rsid w:val="00D11E4B"/>
    <w:rsid w:val="00D174B4"/>
    <w:rsid w:val="00D27FAD"/>
    <w:rsid w:val="00D41F54"/>
    <w:rsid w:val="00D4593B"/>
    <w:rsid w:val="00D477FA"/>
    <w:rsid w:val="00D50C2D"/>
    <w:rsid w:val="00D53810"/>
    <w:rsid w:val="00D649AE"/>
    <w:rsid w:val="00D66AAC"/>
    <w:rsid w:val="00D72D2A"/>
    <w:rsid w:val="00D74072"/>
    <w:rsid w:val="00D764A6"/>
    <w:rsid w:val="00D76B88"/>
    <w:rsid w:val="00D807EC"/>
    <w:rsid w:val="00D80829"/>
    <w:rsid w:val="00D93566"/>
    <w:rsid w:val="00D935EF"/>
    <w:rsid w:val="00DA0CA9"/>
    <w:rsid w:val="00DA1DBB"/>
    <w:rsid w:val="00DA49C4"/>
    <w:rsid w:val="00DB2415"/>
    <w:rsid w:val="00DB7B9F"/>
    <w:rsid w:val="00DC39A6"/>
    <w:rsid w:val="00DC57CF"/>
    <w:rsid w:val="00DD2C5E"/>
    <w:rsid w:val="00DE138F"/>
    <w:rsid w:val="00DE5912"/>
    <w:rsid w:val="00DF1EFF"/>
    <w:rsid w:val="00E003B9"/>
    <w:rsid w:val="00E04B57"/>
    <w:rsid w:val="00E2330B"/>
    <w:rsid w:val="00E23394"/>
    <w:rsid w:val="00E277A9"/>
    <w:rsid w:val="00E34CD7"/>
    <w:rsid w:val="00E3697C"/>
    <w:rsid w:val="00E4052C"/>
    <w:rsid w:val="00E40CC8"/>
    <w:rsid w:val="00E4181A"/>
    <w:rsid w:val="00E45856"/>
    <w:rsid w:val="00E50145"/>
    <w:rsid w:val="00E57847"/>
    <w:rsid w:val="00E57F07"/>
    <w:rsid w:val="00E674E2"/>
    <w:rsid w:val="00E70D07"/>
    <w:rsid w:val="00E70DAD"/>
    <w:rsid w:val="00E742A1"/>
    <w:rsid w:val="00E8173D"/>
    <w:rsid w:val="00E9661D"/>
    <w:rsid w:val="00E97E01"/>
    <w:rsid w:val="00EB0DD7"/>
    <w:rsid w:val="00EB57AF"/>
    <w:rsid w:val="00EB7110"/>
    <w:rsid w:val="00EC0AB0"/>
    <w:rsid w:val="00EC0C2F"/>
    <w:rsid w:val="00EC0F06"/>
    <w:rsid w:val="00EC1A86"/>
    <w:rsid w:val="00EC1D55"/>
    <w:rsid w:val="00EC2EC6"/>
    <w:rsid w:val="00EC3787"/>
    <w:rsid w:val="00EC4829"/>
    <w:rsid w:val="00EC6859"/>
    <w:rsid w:val="00EC69E4"/>
    <w:rsid w:val="00EC792D"/>
    <w:rsid w:val="00ED2B45"/>
    <w:rsid w:val="00ED38DF"/>
    <w:rsid w:val="00EE16A5"/>
    <w:rsid w:val="00EE7148"/>
    <w:rsid w:val="00EE7691"/>
    <w:rsid w:val="00EF1251"/>
    <w:rsid w:val="00EF5805"/>
    <w:rsid w:val="00EF5C88"/>
    <w:rsid w:val="00F0427D"/>
    <w:rsid w:val="00F04484"/>
    <w:rsid w:val="00F079D9"/>
    <w:rsid w:val="00F07FAD"/>
    <w:rsid w:val="00F12AE3"/>
    <w:rsid w:val="00F15FD9"/>
    <w:rsid w:val="00F2130A"/>
    <w:rsid w:val="00F22133"/>
    <w:rsid w:val="00F31532"/>
    <w:rsid w:val="00F43A94"/>
    <w:rsid w:val="00F47970"/>
    <w:rsid w:val="00F5795F"/>
    <w:rsid w:val="00F60719"/>
    <w:rsid w:val="00F629C9"/>
    <w:rsid w:val="00F71439"/>
    <w:rsid w:val="00F75CE1"/>
    <w:rsid w:val="00F921D3"/>
    <w:rsid w:val="00F9571A"/>
    <w:rsid w:val="00F96A26"/>
    <w:rsid w:val="00FA26AC"/>
    <w:rsid w:val="00FB0256"/>
    <w:rsid w:val="00FB1D01"/>
    <w:rsid w:val="00FB5B9D"/>
    <w:rsid w:val="00FB63EF"/>
    <w:rsid w:val="00FC14F9"/>
    <w:rsid w:val="00FC26D2"/>
    <w:rsid w:val="00FC4112"/>
    <w:rsid w:val="00FC59AB"/>
    <w:rsid w:val="00FC62D1"/>
    <w:rsid w:val="00FD4436"/>
    <w:rsid w:val="00FD718A"/>
    <w:rsid w:val="00FE3270"/>
    <w:rsid w:val="00FE534D"/>
    <w:rsid w:val="00FE5762"/>
    <w:rsid w:val="00FF312B"/>
    <w:rsid w:val="00FF4771"/>
    <w:rsid w:val="00FF6538"/>
    <w:rsid w:val="093D5E24"/>
    <w:rsid w:val="09BE82A8"/>
    <w:rsid w:val="0B07A17D"/>
    <w:rsid w:val="0DF989C5"/>
    <w:rsid w:val="277EB54A"/>
    <w:rsid w:val="304CE370"/>
    <w:rsid w:val="35C29F66"/>
    <w:rsid w:val="37C0EF94"/>
    <w:rsid w:val="40BDBCFC"/>
    <w:rsid w:val="413476E6"/>
    <w:rsid w:val="451D4A22"/>
    <w:rsid w:val="4F82B292"/>
    <w:rsid w:val="59EF09DB"/>
    <w:rsid w:val="609522DF"/>
    <w:rsid w:val="640251B8"/>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 w:type="table" w:styleId="Kontuurtabel">
    <w:name w:val="Table Grid"/>
    <w:basedOn w:val="Normaaltabel"/>
    <w:uiPriority w:val="39"/>
    <w:rsid w:val="001315D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476A40"/>
    <w:pPr>
      <w:spacing w:before="100" w:beforeAutospacing="1" w:after="100" w:afterAutospacing="1" w:line="240" w:lineRule="auto"/>
    </w:pPr>
    <w:rPr>
      <w:rFonts w:eastAsia="Times New Roman" w:cs="Times New Roman"/>
      <w:szCs w:val="24"/>
      <w:lang w:eastAsia="et-EE"/>
    </w:rPr>
  </w:style>
  <w:style w:type="paragraph" w:styleId="Allmrkusetekst">
    <w:name w:val="footnote text"/>
    <w:basedOn w:val="Normaallaad"/>
    <w:link w:val="AllmrkusetekstMrk"/>
    <w:uiPriority w:val="99"/>
    <w:semiHidden/>
    <w:unhideWhenUsed/>
    <w:rsid w:val="0038635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86357"/>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3863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309162">
      <w:bodyDiv w:val="1"/>
      <w:marLeft w:val="0"/>
      <w:marRight w:val="0"/>
      <w:marTop w:val="0"/>
      <w:marBottom w:val="0"/>
      <w:divBdr>
        <w:top w:val="none" w:sz="0" w:space="0" w:color="auto"/>
        <w:left w:val="none" w:sz="0" w:space="0" w:color="auto"/>
        <w:bottom w:val="none" w:sz="0" w:space="0" w:color="auto"/>
        <w:right w:val="none" w:sz="0" w:space="0" w:color="auto"/>
      </w:divBdr>
      <w:divsChild>
        <w:div w:id="1377193653">
          <w:marLeft w:val="0"/>
          <w:marRight w:val="0"/>
          <w:marTop w:val="0"/>
          <w:marBottom w:val="0"/>
          <w:divBdr>
            <w:top w:val="none" w:sz="0" w:space="0" w:color="auto"/>
            <w:left w:val="none" w:sz="0" w:space="0" w:color="auto"/>
            <w:bottom w:val="none" w:sz="0" w:space="0" w:color="auto"/>
            <w:right w:val="none" w:sz="0" w:space="0" w:color="auto"/>
          </w:divBdr>
        </w:div>
      </w:divsChild>
    </w:div>
    <w:div w:id="459037750">
      <w:bodyDiv w:val="1"/>
      <w:marLeft w:val="0"/>
      <w:marRight w:val="0"/>
      <w:marTop w:val="0"/>
      <w:marBottom w:val="0"/>
      <w:divBdr>
        <w:top w:val="none" w:sz="0" w:space="0" w:color="auto"/>
        <w:left w:val="none" w:sz="0" w:space="0" w:color="auto"/>
        <w:bottom w:val="none" w:sz="0" w:space="0" w:color="auto"/>
        <w:right w:val="none" w:sz="0" w:space="0" w:color="auto"/>
      </w:divBdr>
    </w:div>
    <w:div w:id="595333776">
      <w:bodyDiv w:val="1"/>
      <w:marLeft w:val="0"/>
      <w:marRight w:val="0"/>
      <w:marTop w:val="0"/>
      <w:marBottom w:val="0"/>
      <w:divBdr>
        <w:top w:val="none" w:sz="0" w:space="0" w:color="auto"/>
        <w:left w:val="none" w:sz="0" w:space="0" w:color="auto"/>
        <w:bottom w:val="none" w:sz="0" w:space="0" w:color="auto"/>
        <w:right w:val="none" w:sz="0" w:space="0" w:color="auto"/>
      </w:divBdr>
    </w:div>
    <w:div w:id="924267264">
      <w:bodyDiv w:val="1"/>
      <w:marLeft w:val="0"/>
      <w:marRight w:val="0"/>
      <w:marTop w:val="0"/>
      <w:marBottom w:val="0"/>
      <w:divBdr>
        <w:top w:val="none" w:sz="0" w:space="0" w:color="auto"/>
        <w:left w:val="none" w:sz="0" w:space="0" w:color="auto"/>
        <w:bottom w:val="none" w:sz="0" w:space="0" w:color="auto"/>
        <w:right w:val="none" w:sz="0" w:space="0" w:color="auto"/>
      </w:divBdr>
    </w:div>
    <w:div w:id="958798555">
      <w:bodyDiv w:val="1"/>
      <w:marLeft w:val="0"/>
      <w:marRight w:val="0"/>
      <w:marTop w:val="0"/>
      <w:marBottom w:val="0"/>
      <w:divBdr>
        <w:top w:val="none" w:sz="0" w:space="0" w:color="auto"/>
        <w:left w:val="none" w:sz="0" w:space="0" w:color="auto"/>
        <w:bottom w:val="none" w:sz="0" w:space="0" w:color="auto"/>
        <w:right w:val="none" w:sz="0" w:space="0" w:color="auto"/>
      </w:divBdr>
    </w:div>
    <w:div w:id="1080642229">
      <w:bodyDiv w:val="1"/>
      <w:marLeft w:val="0"/>
      <w:marRight w:val="0"/>
      <w:marTop w:val="0"/>
      <w:marBottom w:val="0"/>
      <w:divBdr>
        <w:top w:val="none" w:sz="0" w:space="0" w:color="auto"/>
        <w:left w:val="none" w:sz="0" w:space="0" w:color="auto"/>
        <w:bottom w:val="none" w:sz="0" w:space="0" w:color="auto"/>
        <w:right w:val="none" w:sz="0" w:space="0" w:color="auto"/>
      </w:divBdr>
    </w:div>
    <w:div w:id="1342974040">
      <w:bodyDiv w:val="1"/>
      <w:marLeft w:val="0"/>
      <w:marRight w:val="0"/>
      <w:marTop w:val="0"/>
      <w:marBottom w:val="0"/>
      <w:divBdr>
        <w:top w:val="none" w:sz="0" w:space="0" w:color="auto"/>
        <w:left w:val="none" w:sz="0" w:space="0" w:color="auto"/>
        <w:bottom w:val="none" w:sz="0" w:space="0" w:color="auto"/>
        <w:right w:val="none" w:sz="0" w:space="0" w:color="auto"/>
      </w:divBdr>
    </w:div>
    <w:div w:id="1692417587">
      <w:bodyDiv w:val="1"/>
      <w:marLeft w:val="0"/>
      <w:marRight w:val="0"/>
      <w:marTop w:val="0"/>
      <w:marBottom w:val="0"/>
      <w:divBdr>
        <w:top w:val="none" w:sz="0" w:space="0" w:color="auto"/>
        <w:left w:val="none" w:sz="0" w:space="0" w:color="auto"/>
        <w:bottom w:val="none" w:sz="0" w:space="0" w:color="auto"/>
        <w:right w:val="none" w:sz="0" w:space="0" w:color="auto"/>
      </w:divBdr>
      <w:divsChild>
        <w:div w:id="518739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5</Pages>
  <Words>1747</Words>
  <Characters>10134</Characters>
  <Application>Microsoft Office Word</Application>
  <DocSecurity>0</DocSecurity>
  <Lines>84</Lines>
  <Paragraphs>23</Paragraphs>
  <ScaleCrop>false</ScaleCrop>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530</cp:revision>
  <dcterms:created xsi:type="dcterms:W3CDTF">2024-09-18T07:09:00Z</dcterms:created>
  <dcterms:modified xsi:type="dcterms:W3CDTF">2024-12-19T11:35:00Z</dcterms:modified>
</cp:coreProperties>
</file>